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159C78" w14:textId="6A76DEE7" w:rsidR="002A03E6" w:rsidRPr="00ED736F" w:rsidRDefault="004B40D1" w:rsidP="00821672">
      <w:pPr>
        <w:spacing w:after="0" w:line="240" w:lineRule="auto"/>
        <w:jc w:val="both"/>
        <w:rPr>
          <w:rFonts w:ascii="Times New Roman" w:hAnsi="Times New Roman" w:cs="Times New Roman"/>
          <w:b/>
          <w:bCs/>
          <w:sz w:val="19"/>
          <w:szCs w:val="19"/>
        </w:rPr>
      </w:pPr>
      <w:r w:rsidRPr="00ED736F">
        <w:rPr>
          <w:rFonts w:ascii="Times New Roman" w:hAnsi="Times New Roman" w:cs="Times New Roman"/>
          <w:b/>
          <w:bCs/>
          <w:sz w:val="19"/>
          <w:szCs w:val="19"/>
        </w:rPr>
        <w:t xml:space="preserve">PREMESSO </w:t>
      </w:r>
      <w:r w:rsidR="002A03E6" w:rsidRPr="00ED736F">
        <w:rPr>
          <w:rFonts w:ascii="Times New Roman" w:hAnsi="Times New Roman" w:cs="Times New Roman"/>
          <w:b/>
          <w:bCs/>
          <w:sz w:val="19"/>
          <w:szCs w:val="19"/>
        </w:rPr>
        <w:t>che</w:t>
      </w:r>
      <w:r w:rsidR="00096197" w:rsidRPr="00ED736F">
        <w:rPr>
          <w:rFonts w:ascii="Times New Roman" w:hAnsi="Times New Roman" w:cs="Times New Roman"/>
          <w:b/>
          <w:bCs/>
          <w:sz w:val="19"/>
          <w:szCs w:val="19"/>
        </w:rPr>
        <w:t>:</w:t>
      </w:r>
    </w:p>
    <w:p w14:paraId="45ED787F" w14:textId="77777777" w:rsidR="00974E85" w:rsidRPr="00ED736F" w:rsidRDefault="00974E85" w:rsidP="00821672">
      <w:pPr>
        <w:pStyle w:val="Paragrafoelenco"/>
        <w:numPr>
          <w:ilvl w:val="0"/>
          <w:numId w:val="27"/>
        </w:numPr>
        <w:spacing w:after="0" w:line="240" w:lineRule="auto"/>
        <w:ind w:left="0"/>
        <w:jc w:val="both"/>
        <w:rPr>
          <w:rFonts w:ascii="Times New Roman" w:hAnsi="Times New Roman" w:cs="Times New Roman"/>
          <w:sz w:val="19"/>
          <w:szCs w:val="19"/>
        </w:rPr>
      </w:pPr>
      <w:r w:rsidRPr="00ED736F">
        <w:rPr>
          <w:rFonts w:ascii="Times New Roman" w:hAnsi="Times New Roman" w:cs="Times New Roman"/>
          <w:sz w:val="19"/>
          <w:szCs w:val="19"/>
        </w:rPr>
        <w:t xml:space="preserve">il d. lgs. 31 marzo 2023, n. 36, secondo quanto stabilito dall’art. 229 del medesimo, è entrato in vigore con i relativi allegati, il 1° aprile 2023 mentre le sue disposizioni, con i relativi allegati acquistano efficacia il 1° luglio 2023; </w:t>
      </w:r>
    </w:p>
    <w:p w14:paraId="7FE8CB61" w14:textId="4D95FBEF" w:rsidR="00974E85" w:rsidRPr="00ED736F" w:rsidRDefault="00974E85" w:rsidP="00821672">
      <w:pPr>
        <w:pStyle w:val="Paragrafoelenco"/>
        <w:numPr>
          <w:ilvl w:val="0"/>
          <w:numId w:val="27"/>
        </w:numPr>
        <w:spacing w:after="0" w:line="240" w:lineRule="auto"/>
        <w:ind w:left="0"/>
        <w:jc w:val="both"/>
        <w:rPr>
          <w:rFonts w:ascii="Times New Roman" w:hAnsi="Times New Roman" w:cs="Times New Roman"/>
          <w:sz w:val="19"/>
          <w:szCs w:val="19"/>
        </w:rPr>
      </w:pPr>
      <w:r w:rsidRPr="00ED736F">
        <w:rPr>
          <w:rFonts w:ascii="Times New Roman" w:hAnsi="Times New Roman" w:cs="Times New Roman"/>
          <w:sz w:val="19"/>
          <w:szCs w:val="19"/>
        </w:rPr>
        <w:t>l’art. 62, commi 1 e 2, del medesimo decreto legislativo stabilisce che tutte le stazioni appaltanti possono procedere direttamente e autonomamente all'acquisizione di forniture e servizi di importo non superiore alle soglie previste per gli affidamenti diretti e all’affidamento di lavori d’importo pari o inferiore a 500</w:t>
      </w:r>
      <w:r w:rsidR="007254E6" w:rsidRPr="00ED736F">
        <w:rPr>
          <w:rFonts w:ascii="Times New Roman" w:hAnsi="Times New Roman" w:cs="Times New Roman"/>
          <w:sz w:val="19"/>
          <w:szCs w:val="19"/>
        </w:rPr>
        <w:t xml:space="preserve"> mila </w:t>
      </w:r>
      <w:r w:rsidRPr="00ED736F">
        <w:rPr>
          <w:rFonts w:ascii="Times New Roman" w:hAnsi="Times New Roman" w:cs="Times New Roman"/>
          <w:sz w:val="19"/>
          <w:szCs w:val="19"/>
        </w:rPr>
        <w:t xml:space="preserve">euro, nonché attraverso l'effettuazione di ordini a valere su strumenti di acquisto messi a disposizione dalle centrali di committenza qualificate e dai soggetti aggregatori e che per effettuare le procedure di importo superiore alle suddette soglie, le stazioni appaltanti devono essere qualificate ai sensi dell’articolo 63 e dell’allegato II.4 sempre dello stesso decreto legislativo; </w:t>
      </w:r>
    </w:p>
    <w:p w14:paraId="46F4F74D" w14:textId="5D34CF4C" w:rsidR="00974E85" w:rsidRPr="00ED736F" w:rsidRDefault="00974E85" w:rsidP="00821672">
      <w:pPr>
        <w:pStyle w:val="Paragrafoelenco"/>
        <w:numPr>
          <w:ilvl w:val="0"/>
          <w:numId w:val="27"/>
        </w:numPr>
        <w:spacing w:after="0" w:line="240" w:lineRule="auto"/>
        <w:ind w:left="0"/>
        <w:jc w:val="both"/>
        <w:rPr>
          <w:rFonts w:ascii="Times New Roman" w:hAnsi="Times New Roman" w:cs="Times New Roman"/>
          <w:sz w:val="19"/>
          <w:szCs w:val="19"/>
        </w:rPr>
      </w:pPr>
      <w:r w:rsidRPr="00ED736F">
        <w:rPr>
          <w:rFonts w:ascii="Times New Roman" w:hAnsi="Times New Roman" w:cs="Times New Roman"/>
          <w:sz w:val="19"/>
          <w:szCs w:val="19"/>
        </w:rPr>
        <w:t>l’art. 63, comma</w:t>
      </w:r>
      <w:r w:rsidR="00776072" w:rsidRPr="00ED736F">
        <w:rPr>
          <w:rFonts w:ascii="Times New Roman" w:hAnsi="Times New Roman" w:cs="Times New Roman"/>
          <w:sz w:val="19"/>
          <w:szCs w:val="19"/>
        </w:rPr>
        <w:t xml:space="preserve"> 4</w:t>
      </w:r>
      <w:r w:rsidRPr="00ED736F">
        <w:rPr>
          <w:rFonts w:ascii="Times New Roman" w:hAnsi="Times New Roman" w:cs="Times New Roman"/>
          <w:sz w:val="19"/>
          <w:szCs w:val="19"/>
        </w:rPr>
        <w:t>, secondo periodo, del d.lgs. 31 marzo 2023 dispone che in sede di prima applicazione le stazioni appaltanti delle unioni di comuni, costituite nelle forme prevista dall’ordinamento, sono iscritte con riserva nell’elenco, istituito presso l'ANAC, delle stazioni appaltanti qualificate di cui fanno parte, in una specifica sezione, anche le centrali di committenza;</w:t>
      </w:r>
    </w:p>
    <w:p w14:paraId="5691A3A7" w14:textId="016F92B2" w:rsidR="00581F79" w:rsidRPr="00ED736F" w:rsidRDefault="00EA6BC8" w:rsidP="00821672">
      <w:pPr>
        <w:pStyle w:val="Paragrafoelenco"/>
        <w:numPr>
          <w:ilvl w:val="0"/>
          <w:numId w:val="27"/>
        </w:numPr>
        <w:spacing w:after="0" w:line="240" w:lineRule="auto"/>
        <w:ind w:left="0"/>
        <w:jc w:val="both"/>
        <w:rPr>
          <w:rFonts w:ascii="Times New Roman" w:hAnsi="Times New Roman" w:cs="Times New Roman"/>
          <w:sz w:val="19"/>
          <w:szCs w:val="19"/>
        </w:rPr>
      </w:pPr>
      <w:r w:rsidRPr="00ED736F">
        <w:rPr>
          <w:rFonts w:ascii="Times New Roman" w:hAnsi="Times New Roman" w:cs="Times New Roman"/>
          <w:sz w:val="19"/>
          <w:szCs w:val="19"/>
        </w:rPr>
        <w:t>l’art. 1, lett. t</w:t>
      </w:r>
      <w:r w:rsidR="00096197" w:rsidRPr="00ED736F">
        <w:rPr>
          <w:rFonts w:ascii="Times New Roman" w:hAnsi="Times New Roman" w:cs="Times New Roman"/>
          <w:sz w:val="19"/>
          <w:szCs w:val="19"/>
        </w:rPr>
        <w:t>)</w:t>
      </w:r>
      <w:r w:rsidRPr="00ED736F">
        <w:rPr>
          <w:rFonts w:ascii="Times New Roman" w:hAnsi="Times New Roman" w:cs="Times New Roman"/>
          <w:sz w:val="19"/>
          <w:szCs w:val="19"/>
        </w:rPr>
        <w:t>, dell’allegato I.1 del d. lgs. 31 marzo 2023 n. 36 definisce la stazione appaltante qualificata qualsiasi soggetto pubblico o privato qualificato</w:t>
      </w:r>
      <w:r w:rsidR="00776072" w:rsidRPr="00ED736F">
        <w:rPr>
          <w:rFonts w:ascii="Times New Roman" w:hAnsi="Times New Roman" w:cs="Times New Roman"/>
          <w:sz w:val="19"/>
          <w:szCs w:val="19"/>
        </w:rPr>
        <w:t>.</w:t>
      </w:r>
      <w:r w:rsidRPr="00ED736F">
        <w:rPr>
          <w:rFonts w:ascii="Times New Roman" w:hAnsi="Times New Roman" w:cs="Times New Roman"/>
          <w:sz w:val="19"/>
          <w:szCs w:val="19"/>
        </w:rPr>
        <w:t xml:space="preserve"> ai sensi dell’allegato I</w:t>
      </w:r>
      <w:r w:rsidR="000A76B6" w:rsidRPr="00ED736F">
        <w:rPr>
          <w:rFonts w:ascii="Times New Roman" w:hAnsi="Times New Roman" w:cs="Times New Roman"/>
          <w:sz w:val="19"/>
          <w:szCs w:val="19"/>
        </w:rPr>
        <w:t>I</w:t>
      </w:r>
      <w:r w:rsidRPr="00ED736F">
        <w:rPr>
          <w:rFonts w:ascii="Times New Roman" w:hAnsi="Times New Roman" w:cs="Times New Roman"/>
          <w:sz w:val="19"/>
          <w:szCs w:val="19"/>
        </w:rPr>
        <w:t xml:space="preserve">.4 al </w:t>
      </w:r>
      <w:r w:rsidR="00776072" w:rsidRPr="00ED736F">
        <w:rPr>
          <w:rFonts w:ascii="Times New Roman" w:hAnsi="Times New Roman" w:cs="Times New Roman"/>
          <w:sz w:val="19"/>
          <w:szCs w:val="19"/>
        </w:rPr>
        <w:t>suddetto decreto,</w:t>
      </w:r>
      <w:r w:rsidRPr="00ED736F">
        <w:rPr>
          <w:rFonts w:ascii="Times New Roman" w:hAnsi="Times New Roman" w:cs="Times New Roman"/>
          <w:sz w:val="19"/>
          <w:szCs w:val="19"/>
        </w:rPr>
        <w:t xml:space="preserve"> per gli affidamenti di lavori di importo pari o superiore a 500 mila euro </w:t>
      </w:r>
      <w:r w:rsidR="00506513" w:rsidRPr="00ED736F">
        <w:rPr>
          <w:rFonts w:ascii="Times New Roman" w:hAnsi="Times New Roman" w:cs="Times New Roman"/>
          <w:sz w:val="19"/>
          <w:szCs w:val="19"/>
        </w:rPr>
        <w:t>e per l’acquisizione di servizi e forniture d’importo pari o superiore alle soglie previste per gli affidamenti diretti</w:t>
      </w:r>
      <w:r w:rsidR="00581F79" w:rsidRPr="00ED736F">
        <w:rPr>
          <w:rFonts w:ascii="Times New Roman" w:hAnsi="Times New Roman" w:cs="Times New Roman"/>
          <w:sz w:val="19"/>
          <w:szCs w:val="19"/>
        </w:rPr>
        <w:t xml:space="preserve">; </w:t>
      </w:r>
    </w:p>
    <w:p w14:paraId="5456F664" w14:textId="51E2E5ED" w:rsidR="008C3D96" w:rsidRPr="003E7239" w:rsidRDefault="00096197" w:rsidP="009E1B8C">
      <w:pPr>
        <w:pStyle w:val="Paragrafoelenco"/>
        <w:numPr>
          <w:ilvl w:val="0"/>
          <w:numId w:val="27"/>
        </w:numPr>
        <w:spacing w:after="0" w:line="240" w:lineRule="auto"/>
        <w:ind w:left="0"/>
        <w:jc w:val="both"/>
        <w:rPr>
          <w:rFonts w:ascii="Times New Roman" w:hAnsi="Times New Roman" w:cs="Times New Roman"/>
          <w:sz w:val="19"/>
          <w:szCs w:val="19"/>
        </w:rPr>
      </w:pPr>
      <w:r w:rsidRPr="003E7239">
        <w:rPr>
          <w:rFonts w:ascii="Times New Roman" w:hAnsi="Times New Roman" w:cs="Times New Roman"/>
          <w:sz w:val="19"/>
          <w:szCs w:val="19"/>
        </w:rPr>
        <w:t xml:space="preserve">la </w:t>
      </w:r>
      <w:r w:rsidR="00C97E29" w:rsidRPr="003E7239">
        <w:rPr>
          <w:rFonts w:ascii="Times New Roman" w:hAnsi="Times New Roman" w:cs="Times New Roman"/>
          <w:sz w:val="19"/>
          <w:szCs w:val="19"/>
        </w:rPr>
        <w:t>Comunità Montana Tanagro Alto e Medio Sele</w:t>
      </w:r>
      <w:r w:rsidR="00776072" w:rsidRPr="003E7239">
        <w:rPr>
          <w:rFonts w:ascii="Times New Roman" w:hAnsi="Times New Roman" w:cs="Times New Roman"/>
          <w:sz w:val="19"/>
          <w:szCs w:val="19"/>
        </w:rPr>
        <w:t xml:space="preserve"> in data 14.7.2023 </w:t>
      </w:r>
      <w:r w:rsidR="00C97E29" w:rsidRPr="003E7239">
        <w:rPr>
          <w:rFonts w:ascii="Times New Roman" w:hAnsi="Times New Roman" w:cs="Times New Roman"/>
          <w:sz w:val="19"/>
          <w:szCs w:val="19"/>
        </w:rPr>
        <w:t>è stata qualifica</w:t>
      </w:r>
      <w:r w:rsidRPr="003E7239">
        <w:rPr>
          <w:rFonts w:ascii="Times New Roman" w:hAnsi="Times New Roman" w:cs="Times New Roman"/>
          <w:sz w:val="19"/>
          <w:szCs w:val="19"/>
        </w:rPr>
        <w:t>ta</w:t>
      </w:r>
      <w:r w:rsidR="00C97E29" w:rsidRPr="003E7239">
        <w:rPr>
          <w:rFonts w:ascii="Times New Roman" w:hAnsi="Times New Roman" w:cs="Times New Roman"/>
          <w:sz w:val="19"/>
          <w:szCs w:val="19"/>
        </w:rPr>
        <w:t xml:space="preserve"> stazione appaltante con livelli di qualificazione SF1 e L1</w:t>
      </w:r>
      <w:r w:rsidR="003E7239" w:rsidRPr="003E7239">
        <w:rPr>
          <w:rFonts w:ascii="Times New Roman" w:hAnsi="Times New Roman" w:cs="Times New Roman"/>
          <w:sz w:val="19"/>
          <w:szCs w:val="19"/>
        </w:rPr>
        <w:t xml:space="preserve"> ed </w:t>
      </w:r>
      <w:r w:rsidR="008C3D96" w:rsidRPr="003E7239">
        <w:rPr>
          <w:rFonts w:ascii="Times New Roman" w:hAnsi="Times New Roman" w:cs="Times New Roman"/>
          <w:sz w:val="19"/>
          <w:szCs w:val="19"/>
        </w:rPr>
        <w:t>è isc</w:t>
      </w:r>
      <w:r w:rsidR="00C97E29" w:rsidRPr="003E7239">
        <w:rPr>
          <w:rFonts w:ascii="Times New Roman" w:hAnsi="Times New Roman" w:cs="Times New Roman"/>
          <w:sz w:val="19"/>
          <w:szCs w:val="19"/>
        </w:rPr>
        <w:t>r</w:t>
      </w:r>
      <w:r w:rsidR="008C3D96" w:rsidRPr="003E7239">
        <w:rPr>
          <w:rFonts w:ascii="Times New Roman" w:hAnsi="Times New Roman" w:cs="Times New Roman"/>
          <w:sz w:val="19"/>
          <w:szCs w:val="19"/>
        </w:rPr>
        <w:t>itta nel registro ANAC</w:t>
      </w:r>
      <w:r w:rsidRPr="003E7239">
        <w:rPr>
          <w:rFonts w:ascii="Times New Roman" w:hAnsi="Times New Roman" w:cs="Times New Roman"/>
          <w:sz w:val="19"/>
          <w:szCs w:val="19"/>
        </w:rPr>
        <w:t>,</w:t>
      </w:r>
      <w:r w:rsidR="008C3D96" w:rsidRPr="003E7239">
        <w:rPr>
          <w:rFonts w:ascii="Times New Roman" w:hAnsi="Times New Roman" w:cs="Times New Roman"/>
          <w:sz w:val="19"/>
          <w:szCs w:val="19"/>
        </w:rPr>
        <w:t xml:space="preserve"> quale stazione appaltante qualificata</w:t>
      </w:r>
      <w:r w:rsidRPr="003E7239">
        <w:rPr>
          <w:rFonts w:ascii="Times New Roman" w:hAnsi="Times New Roman" w:cs="Times New Roman"/>
          <w:sz w:val="19"/>
          <w:szCs w:val="19"/>
        </w:rPr>
        <w:t>,</w:t>
      </w:r>
      <w:r w:rsidR="008C3D96" w:rsidRPr="003E7239">
        <w:rPr>
          <w:rFonts w:ascii="Times New Roman" w:hAnsi="Times New Roman" w:cs="Times New Roman"/>
          <w:sz w:val="19"/>
          <w:szCs w:val="19"/>
        </w:rPr>
        <w:t xml:space="preserve"> codice AUSA 0000245894</w:t>
      </w:r>
      <w:r w:rsidR="00C97E29" w:rsidRPr="003E7239">
        <w:rPr>
          <w:rFonts w:ascii="Times New Roman" w:hAnsi="Times New Roman" w:cs="Times New Roman"/>
          <w:sz w:val="19"/>
          <w:szCs w:val="19"/>
        </w:rPr>
        <w:t xml:space="preserve">; </w:t>
      </w:r>
    </w:p>
    <w:p w14:paraId="2BA4A299" w14:textId="326A539C" w:rsidR="00C97E29" w:rsidRDefault="00C97E29" w:rsidP="00821672">
      <w:pPr>
        <w:pStyle w:val="Paragrafoelenco"/>
        <w:numPr>
          <w:ilvl w:val="0"/>
          <w:numId w:val="27"/>
        </w:numPr>
        <w:spacing w:after="0" w:line="240" w:lineRule="auto"/>
        <w:ind w:left="0"/>
        <w:jc w:val="both"/>
        <w:rPr>
          <w:rFonts w:ascii="Times New Roman" w:hAnsi="Times New Roman" w:cs="Times New Roman"/>
          <w:sz w:val="19"/>
          <w:szCs w:val="19"/>
        </w:rPr>
      </w:pPr>
      <w:r w:rsidRPr="00ED736F">
        <w:rPr>
          <w:rFonts w:ascii="Times New Roman" w:hAnsi="Times New Roman" w:cs="Times New Roman"/>
          <w:sz w:val="19"/>
          <w:szCs w:val="19"/>
        </w:rPr>
        <w:t>le stazioni appaltanti non qualificate ai sensi del comma 2 dell’articolo 63, fatto salvo quanto previsto dal comma 1 dell’art.62 del d. lgs n.36/2023</w:t>
      </w:r>
      <w:r w:rsidR="00096197" w:rsidRPr="00ED736F">
        <w:rPr>
          <w:rFonts w:ascii="Times New Roman" w:hAnsi="Times New Roman" w:cs="Times New Roman"/>
          <w:sz w:val="19"/>
          <w:szCs w:val="19"/>
        </w:rPr>
        <w:t>,</w:t>
      </w:r>
      <w:r w:rsidRPr="00ED736F">
        <w:rPr>
          <w:rFonts w:ascii="Times New Roman" w:hAnsi="Times New Roman" w:cs="Times New Roman"/>
          <w:sz w:val="19"/>
          <w:szCs w:val="19"/>
        </w:rPr>
        <w:t xml:space="preserve"> ricorrono per attività di committenza ausiliaria, di cui all'articolo 3, comma 1, lettera z), dell’allegato I.1 del decreto suesposto, a centrali di committenza qualificate e a stazioni appaltanti qualificate; </w:t>
      </w:r>
    </w:p>
    <w:p w14:paraId="5639D728" w14:textId="40305DA2" w:rsidR="003E7239" w:rsidRPr="003E7239" w:rsidRDefault="003E7239" w:rsidP="003E7239">
      <w:pPr>
        <w:pStyle w:val="Paragrafoelenco"/>
        <w:spacing w:after="0" w:line="240" w:lineRule="auto"/>
        <w:ind w:left="0"/>
        <w:jc w:val="both"/>
        <w:rPr>
          <w:rFonts w:ascii="Times New Roman" w:hAnsi="Times New Roman" w:cs="Times New Roman"/>
          <w:b/>
          <w:bCs/>
          <w:sz w:val="19"/>
          <w:szCs w:val="19"/>
        </w:rPr>
      </w:pPr>
      <w:r w:rsidRPr="003E7239">
        <w:rPr>
          <w:rFonts w:ascii="Times New Roman" w:hAnsi="Times New Roman" w:cs="Times New Roman"/>
          <w:b/>
          <w:bCs/>
          <w:sz w:val="19"/>
          <w:szCs w:val="19"/>
        </w:rPr>
        <w:t xml:space="preserve">CONSIDERATO </w:t>
      </w:r>
      <w:r>
        <w:rPr>
          <w:rFonts w:ascii="Times New Roman" w:hAnsi="Times New Roman" w:cs="Times New Roman"/>
          <w:b/>
          <w:bCs/>
          <w:sz w:val="19"/>
          <w:szCs w:val="19"/>
        </w:rPr>
        <w:t xml:space="preserve">che: </w:t>
      </w:r>
    </w:p>
    <w:p w14:paraId="55476C11" w14:textId="77777777" w:rsidR="003E7239" w:rsidRDefault="003E7239" w:rsidP="003E7239">
      <w:pPr>
        <w:pStyle w:val="Paragrafoelenco"/>
        <w:numPr>
          <w:ilvl w:val="0"/>
          <w:numId w:val="27"/>
        </w:numPr>
        <w:spacing w:after="0" w:line="240" w:lineRule="auto"/>
        <w:ind w:left="0"/>
        <w:jc w:val="both"/>
        <w:rPr>
          <w:rFonts w:ascii="Times New Roman" w:hAnsi="Times New Roman" w:cs="Times New Roman"/>
          <w:sz w:val="19"/>
          <w:szCs w:val="19"/>
        </w:rPr>
      </w:pPr>
      <w:r>
        <w:rPr>
          <w:rFonts w:ascii="Times New Roman" w:hAnsi="Times New Roman" w:cs="Times New Roman"/>
          <w:sz w:val="19"/>
          <w:szCs w:val="19"/>
        </w:rPr>
        <w:t xml:space="preserve">il comune di _______________ ha la necessità, in quanto stazione appaltante non qualificata, per lo svolgimento delle procedure di </w:t>
      </w:r>
      <w:r w:rsidRPr="00ED736F">
        <w:rPr>
          <w:rFonts w:ascii="Times New Roman" w:hAnsi="Times New Roman" w:cs="Times New Roman"/>
          <w:sz w:val="19"/>
          <w:szCs w:val="19"/>
        </w:rPr>
        <w:t>affidamenti di lavori di importo pari o superiore a 500 mila euro e per l’acquisizione di servizi e forniture d’importo pari o superiore alle soglie previste per gli affidamenti diretti</w:t>
      </w:r>
      <w:r>
        <w:rPr>
          <w:rFonts w:ascii="Times New Roman" w:hAnsi="Times New Roman" w:cs="Times New Roman"/>
          <w:sz w:val="19"/>
          <w:szCs w:val="19"/>
        </w:rPr>
        <w:t xml:space="preserve">, di ricorrere a una stazione appaltante qualificata; </w:t>
      </w:r>
    </w:p>
    <w:p w14:paraId="5D833733" w14:textId="2EAB0D30" w:rsidR="003E7239" w:rsidRPr="00ED736F" w:rsidRDefault="003E7239" w:rsidP="003E7239">
      <w:pPr>
        <w:pStyle w:val="Paragrafoelenco"/>
        <w:numPr>
          <w:ilvl w:val="0"/>
          <w:numId w:val="27"/>
        </w:numPr>
        <w:spacing w:after="0" w:line="240" w:lineRule="auto"/>
        <w:ind w:left="0"/>
        <w:jc w:val="both"/>
        <w:rPr>
          <w:rFonts w:ascii="Times New Roman" w:hAnsi="Times New Roman" w:cs="Times New Roman"/>
          <w:sz w:val="19"/>
          <w:szCs w:val="19"/>
        </w:rPr>
      </w:pPr>
      <w:r>
        <w:rPr>
          <w:rFonts w:ascii="Times New Roman" w:hAnsi="Times New Roman" w:cs="Times New Roman"/>
          <w:sz w:val="19"/>
          <w:szCs w:val="19"/>
        </w:rPr>
        <w:t xml:space="preserve">la </w:t>
      </w:r>
      <w:r w:rsidRPr="003E7239">
        <w:rPr>
          <w:rFonts w:ascii="Times New Roman" w:hAnsi="Times New Roman" w:cs="Times New Roman"/>
          <w:sz w:val="19"/>
          <w:szCs w:val="19"/>
        </w:rPr>
        <w:t xml:space="preserve">Comunità Montana Tanagro Alto e Medio Sele </w:t>
      </w:r>
      <w:r>
        <w:rPr>
          <w:rFonts w:ascii="Times New Roman" w:hAnsi="Times New Roman" w:cs="Times New Roman"/>
          <w:sz w:val="19"/>
          <w:szCs w:val="19"/>
        </w:rPr>
        <w:t>è</w:t>
      </w:r>
      <w:r w:rsidRPr="003E7239">
        <w:rPr>
          <w:rFonts w:ascii="Times New Roman" w:hAnsi="Times New Roman" w:cs="Times New Roman"/>
          <w:sz w:val="19"/>
          <w:szCs w:val="19"/>
        </w:rPr>
        <w:t xml:space="preserve"> stata qualificata stazione appaltante con livelli di qualificazione SF1 e L1 ed è iscritta nel registro ANAC</w:t>
      </w:r>
      <w:r>
        <w:rPr>
          <w:rFonts w:ascii="Times New Roman" w:hAnsi="Times New Roman" w:cs="Times New Roman"/>
          <w:sz w:val="19"/>
          <w:szCs w:val="19"/>
        </w:rPr>
        <w:t xml:space="preserve"> </w:t>
      </w:r>
      <w:r w:rsidRPr="003E7239">
        <w:rPr>
          <w:rFonts w:ascii="Times New Roman" w:hAnsi="Times New Roman" w:cs="Times New Roman"/>
          <w:sz w:val="19"/>
          <w:szCs w:val="19"/>
        </w:rPr>
        <w:t xml:space="preserve">codice AUSA 0000245894; </w:t>
      </w:r>
      <w:r>
        <w:rPr>
          <w:rFonts w:ascii="Times New Roman" w:hAnsi="Times New Roman" w:cs="Times New Roman"/>
          <w:sz w:val="19"/>
          <w:szCs w:val="19"/>
        </w:rPr>
        <w:t xml:space="preserve">  </w:t>
      </w:r>
    </w:p>
    <w:p w14:paraId="73C2430B" w14:textId="1A84F801" w:rsidR="00487BA0" w:rsidRPr="00ED736F" w:rsidRDefault="00F638D3" w:rsidP="00821672">
      <w:pPr>
        <w:pStyle w:val="Paragrafoelenco"/>
        <w:numPr>
          <w:ilvl w:val="0"/>
          <w:numId w:val="27"/>
        </w:numPr>
        <w:spacing w:after="0" w:line="240" w:lineRule="auto"/>
        <w:ind w:left="0" w:hanging="357"/>
        <w:contextualSpacing w:val="0"/>
        <w:jc w:val="both"/>
        <w:rPr>
          <w:rFonts w:ascii="Times New Roman" w:hAnsi="Times New Roman" w:cs="Times New Roman"/>
          <w:sz w:val="19"/>
          <w:szCs w:val="19"/>
        </w:rPr>
      </w:pPr>
      <w:r w:rsidRPr="00ED736F">
        <w:rPr>
          <w:rFonts w:ascii="Times New Roman" w:hAnsi="Times New Roman" w:cs="Times New Roman"/>
          <w:sz w:val="19"/>
          <w:szCs w:val="19"/>
        </w:rPr>
        <w:t>a</w:t>
      </w:r>
      <w:r w:rsidR="00487B32" w:rsidRPr="00ED736F">
        <w:rPr>
          <w:rFonts w:ascii="Times New Roman" w:hAnsi="Times New Roman" w:cs="Times New Roman"/>
          <w:sz w:val="19"/>
          <w:szCs w:val="19"/>
        </w:rPr>
        <w:t>i sensi dell’art.</w:t>
      </w:r>
      <w:r w:rsidR="00107164" w:rsidRPr="00ED736F">
        <w:rPr>
          <w:rFonts w:ascii="Times New Roman" w:hAnsi="Times New Roman" w:cs="Times New Roman"/>
          <w:sz w:val="19"/>
          <w:szCs w:val="19"/>
        </w:rPr>
        <w:t xml:space="preserve"> </w:t>
      </w:r>
      <w:r w:rsidR="00487B32" w:rsidRPr="00ED736F">
        <w:rPr>
          <w:rFonts w:ascii="Times New Roman" w:hAnsi="Times New Roman" w:cs="Times New Roman"/>
          <w:sz w:val="19"/>
          <w:szCs w:val="19"/>
        </w:rPr>
        <w:t xml:space="preserve">62, comma 9 del </w:t>
      </w:r>
      <w:r w:rsidR="00DE6FB6" w:rsidRPr="00ED736F">
        <w:rPr>
          <w:rFonts w:ascii="Times New Roman" w:hAnsi="Times New Roman" w:cs="Times New Roman"/>
          <w:sz w:val="19"/>
          <w:szCs w:val="19"/>
        </w:rPr>
        <w:t>d</w:t>
      </w:r>
      <w:r w:rsidR="00487B32" w:rsidRPr="00ED736F">
        <w:rPr>
          <w:rFonts w:ascii="Times New Roman" w:hAnsi="Times New Roman" w:cs="Times New Roman"/>
          <w:sz w:val="19"/>
          <w:szCs w:val="19"/>
        </w:rPr>
        <w:t>.</w:t>
      </w:r>
      <w:r w:rsidR="003D6776" w:rsidRPr="00ED736F">
        <w:rPr>
          <w:rFonts w:ascii="Times New Roman" w:hAnsi="Times New Roman" w:cs="Times New Roman"/>
          <w:sz w:val="19"/>
          <w:szCs w:val="19"/>
        </w:rPr>
        <w:t xml:space="preserve"> </w:t>
      </w:r>
      <w:r w:rsidR="00DE6FB6" w:rsidRPr="00ED736F">
        <w:rPr>
          <w:rFonts w:ascii="Times New Roman" w:hAnsi="Times New Roman" w:cs="Times New Roman"/>
          <w:sz w:val="19"/>
          <w:szCs w:val="19"/>
        </w:rPr>
        <w:t>l</w:t>
      </w:r>
      <w:r w:rsidR="00487B32" w:rsidRPr="00ED736F">
        <w:rPr>
          <w:rFonts w:ascii="Times New Roman" w:hAnsi="Times New Roman" w:cs="Times New Roman"/>
          <w:sz w:val="19"/>
          <w:szCs w:val="19"/>
        </w:rPr>
        <w:t>gs. n.36/2023 «Il ricorso alla stazione appaltante qualificata o alla centrale di committenza qualificata è formalizzato mediante un accordo ai sensi dell’articolo 30 del testo unico delle leggi sull'ordinamento degli enti locali, di cui al decreto legislativo 18 agosto 2000, n. 267, o ai sensi dell’articolo 15 della legge 7 agosto 1990, n. 241, o mediante altra modalità disciplinante i rapporti in funzione della natura giuridica della centrale di committenza»</w:t>
      </w:r>
      <w:r w:rsidR="00DE6FB6" w:rsidRPr="00ED736F">
        <w:rPr>
          <w:rFonts w:ascii="Times New Roman" w:hAnsi="Times New Roman" w:cs="Times New Roman"/>
          <w:sz w:val="19"/>
          <w:szCs w:val="19"/>
        </w:rPr>
        <w:t>;</w:t>
      </w:r>
    </w:p>
    <w:p w14:paraId="7838CD5C" w14:textId="77777777" w:rsidR="00F44B21" w:rsidRDefault="00487BA0" w:rsidP="00597DC1">
      <w:pPr>
        <w:pStyle w:val="Paragrafoelenco"/>
        <w:numPr>
          <w:ilvl w:val="0"/>
          <w:numId w:val="27"/>
        </w:numPr>
        <w:spacing w:after="0" w:line="240" w:lineRule="auto"/>
        <w:ind w:left="0"/>
        <w:jc w:val="both"/>
        <w:rPr>
          <w:rFonts w:ascii="Times New Roman" w:hAnsi="Times New Roman" w:cs="Times New Roman"/>
          <w:sz w:val="19"/>
          <w:szCs w:val="19"/>
        </w:rPr>
      </w:pPr>
      <w:r w:rsidRPr="00F44B21">
        <w:rPr>
          <w:rFonts w:ascii="Times New Roman" w:hAnsi="Times New Roman" w:cs="Times New Roman"/>
          <w:sz w:val="19"/>
          <w:szCs w:val="19"/>
        </w:rPr>
        <w:t>l’art. 15 della Legge 7 agosto 1990 n. 241 stabilisce che le Amministrazioni Pubbliche possono concludere tra loro accordi per disciplinare lo svolgimento in collaborazione di attività di interesse comune e che per tali accordi si osservano, in quanto applicabili, le disposizioni previste dall’art. 11, commi 2 e 3 della medesima legge;</w:t>
      </w:r>
      <w:r w:rsidR="00F44B21">
        <w:rPr>
          <w:rFonts w:ascii="Times New Roman" w:hAnsi="Times New Roman" w:cs="Times New Roman"/>
          <w:sz w:val="19"/>
          <w:szCs w:val="19"/>
        </w:rPr>
        <w:t xml:space="preserve"> </w:t>
      </w:r>
    </w:p>
    <w:p w14:paraId="45170FFD" w14:textId="59459516" w:rsidR="00F44B21" w:rsidRDefault="00F44B21" w:rsidP="00F44B21">
      <w:pPr>
        <w:pStyle w:val="Paragrafoelenco"/>
        <w:numPr>
          <w:ilvl w:val="0"/>
          <w:numId w:val="27"/>
        </w:numPr>
        <w:spacing w:after="0" w:line="240" w:lineRule="auto"/>
        <w:ind w:left="0"/>
        <w:jc w:val="both"/>
        <w:rPr>
          <w:rFonts w:ascii="Times New Roman" w:hAnsi="Times New Roman" w:cs="Times New Roman"/>
          <w:sz w:val="19"/>
          <w:szCs w:val="19"/>
        </w:rPr>
      </w:pPr>
      <w:r w:rsidRPr="00F44B21">
        <w:rPr>
          <w:rFonts w:ascii="Times New Roman" w:hAnsi="Times New Roman" w:cs="Times New Roman"/>
          <w:sz w:val="19"/>
          <w:szCs w:val="19"/>
        </w:rPr>
        <w:t xml:space="preserve">ai sensi dell’art.25 del </w:t>
      </w:r>
      <w:r>
        <w:rPr>
          <w:rFonts w:ascii="Times New Roman" w:hAnsi="Times New Roman" w:cs="Times New Roman"/>
          <w:sz w:val="19"/>
          <w:szCs w:val="19"/>
        </w:rPr>
        <w:t>d</w:t>
      </w:r>
      <w:r w:rsidR="002A75D6">
        <w:rPr>
          <w:rFonts w:ascii="Times New Roman" w:hAnsi="Times New Roman" w:cs="Times New Roman"/>
          <w:sz w:val="19"/>
          <w:szCs w:val="19"/>
        </w:rPr>
        <w:t>.</w:t>
      </w:r>
      <w:r>
        <w:rPr>
          <w:rFonts w:ascii="Times New Roman" w:hAnsi="Times New Roman" w:cs="Times New Roman"/>
          <w:sz w:val="19"/>
          <w:szCs w:val="19"/>
        </w:rPr>
        <w:t xml:space="preserve"> lgs</w:t>
      </w:r>
      <w:r w:rsidR="002A75D6">
        <w:rPr>
          <w:rFonts w:ascii="Times New Roman" w:hAnsi="Times New Roman" w:cs="Times New Roman"/>
          <w:sz w:val="19"/>
          <w:szCs w:val="19"/>
        </w:rPr>
        <w:t>.</w:t>
      </w:r>
      <w:r>
        <w:rPr>
          <w:rFonts w:ascii="Times New Roman" w:hAnsi="Times New Roman" w:cs="Times New Roman"/>
          <w:sz w:val="19"/>
          <w:szCs w:val="19"/>
        </w:rPr>
        <w:t xml:space="preserve"> n.36/2023 </w:t>
      </w:r>
      <w:r w:rsidRPr="00F44B21">
        <w:rPr>
          <w:rFonts w:ascii="Times New Roman" w:hAnsi="Times New Roman" w:cs="Times New Roman"/>
          <w:sz w:val="19"/>
          <w:szCs w:val="19"/>
        </w:rPr>
        <w:t>le stazioni appaltanti e gli enti concedenti utilizzano le piattaforme di approvvigionamento digitale per svolgere le procedure di affidamento e di esecuzione dei contratti pubblici, secondo</w:t>
      </w:r>
      <w:r>
        <w:rPr>
          <w:rFonts w:ascii="Times New Roman" w:hAnsi="Times New Roman" w:cs="Times New Roman"/>
          <w:sz w:val="19"/>
          <w:szCs w:val="19"/>
        </w:rPr>
        <w:t xml:space="preserve"> i requisiti e </w:t>
      </w:r>
      <w:r w:rsidRPr="00F44B21">
        <w:rPr>
          <w:rFonts w:ascii="Times New Roman" w:hAnsi="Times New Roman" w:cs="Times New Roman"/>
          <w:sz w:val="19"/>
          <w:szCs w:val="19"/>
        </w:rPr>
        <w:t>le regole tecniche sono stabilite dall’AGID di intesa con l’ANAC e la Presidenza del Consiglio dei ministri, Dipartimento per la trasformazione digitale;</w:t>
      </w:r>
    </w:p>
    <w:p w14:paraId="73DCCF8D" w14:textId="77777777" w:rsidR="00F44B21" w:rsidRDefault="00F44B21" w:rsidP="00F44B21">
      <w:pPr>
        <w:pStyle w:val="Paragrafoelenco"/>
        <w:numPr>
          <w:ilvl w:val="0"/>
          <w:numId w:val="27"/>
        </w:numPr>
        <w:spacing w:after="0" w:line="240" w:lineRule="auto"/>
        <w:ind w:left="0"/>
        <w:jc w:val="both"/>
        <w:rPr>
          <w:rFonts w:ascii="Times New Roman" w:hAnsi="Times New Roman" w:cs="Times New Roman"/>
          <w:sz w:val="19"/>
          <w:szCs w:val="19"/>
        </w:rPr>
      </w:pPr>
      <w:r>
        <w:rPr>
          <w:rFonts w:ascii="Times New Roman" w:hAnsi="Times New Roman" w:cs="Times New Roman"/>
          <w:sz w:val="19"/>
          <w:szCs w:val="19"/>
        </w:rPr>
        <w:t xml:space="preserve">la </w:t>
      </w:r>
      <w:r w:rsidRPr="003E7239">
        <w:rPr>
          <w:rFonts w:ascii="Times New Roman" w:hAnsi="Times New Roman" w:cs="Times New Roman"/>
          <w:sz w:val="19"/>
          <w:szCs w:val="19"/>
        </w:rPr>
        <w:t xml:space="preserve">stazione appaltante </w:t>
      </w:r>
      <w:r>
        <w:rPr>
          <w:rFonts w:ascii="Times New Roman" w:hAnsi="Times New Roman" w:cs="Times New Roman"/>
          <w:sz w:val="19"/>
          <w:szCs w:val="19"/>
        </w:rPr>
        <w:t xml:space="preserve">qualificata </w:t>
      </w:r>
      <w:r w:rsidRPr="003E7239">
        <w:rPr>
          <w:rFonts w:ascii="Times New Roman" w:hAnsi="Times New Roman" w:cs="Times New Roman"/>
          <w:sz w:val="19"/>
          <w:szCs w:val="19"/>
        </w:rPr>
        <w:t>Comunità Montana Tanagro Alto e Medio Sele</w:t>
      </w:r>
      <w:r w:rsidRPr="00F44B21">
        <w:rPr>
          <w:rFonts w:ascii="Times New Roman" w:hAnsi="Times New Roman" w:cs="Times New Roman"/>
          <w:sz w:val="19"/>
          <w:szCs w:val="19"/>
        </w:rPr>
        <w:t xml:space="preserve"> ha la disponibilità della piattaforma di approvvigionamento digitale certificata “ASMECOMM”</w:t>
      </w:r>
      <w:r>
        <w:rPr>
          <w:rFonts w:ascii="Times New Roman" w:hAnsi="Times New Roman" w:cs="Times New Roman"/>
          <w:sz w:val="19"/>
          <w:szCs w:val="19"/>
        </w:rPr>
        <w:t xml:space="preserve">; </w:t>
      </w:r>
    </w:p>
    <w:p w14:paraId="297B9EDC" w14:textId="24D71C32" w:rsidR="00F44B21" w:rsidRDefault="00F44B21" w:rsidP="00837877">
      <w:pPr>
        <w:pStyle w:val="Paragrafoelenco"/>
        <w:numPr>
          <w:ilvl w:val="0"/>
          <w:numId w:val="27"/>
        </w:numPr>
        <w:spacing w:after="0" w:line="240" w:lineRule="auto"/>
        <w:ind w:left="0"/>
        <w:jc w:val="both"/>
        <w:rPr>
          <w:rFonts w:ascii="Times New Roman" w:hAnsi="Times New Roman" w:cs="Times New Roman"/>
          <w:sz w:val="19"/>
          <w:szCs w:val="19"/>
        </w:rPr>
      </w:pPr>
      <w:r w:rsidRPr="00F44B21">
        <w:rPr>
          <w:rFonts w:ascii="Times New Roman" w:hAnsi="Times New Roman" w:cs="Times New Roman"/>
          <w:sz w:val="19"/>
          <w:szCs w:val="19"/>
        </w:rPr>
        <w:t>la stazione appaltante qualificata Comunità Montana Tanagro Alto e Medio Sele è disponibile a svolgere le attività di committenza ausiliaria, ai sensi degli artt. 62 e 63 del d. lgs. n.36/2023 e delle norme di settore</w:t>
      </w:r>
      <w:r w:rsidR="001A50FE">
        <w:rPr>
          <w:rFonts w:ascii="Times New Roman" w:hAnsi="Times New Roman" w:cs="Times New Roman"/>
          <w:sz w:val="19"/>
          <w:szCs w:val="19"/>
        </w:rPr>
        <w:t>;</w:t>
      </w:r>
    </w:p>
    <w:p w14:paraId="7498D9BC" w14:textId="31354281" w:rsidR="00F44B21" w:rsidRDefault="00F44B21" w:rsidP="00A62FF7">
      <w:pPr>
        <w:pStyle w:val="Paragrafoelenco"/>
        <w:numPr>
          <w:ilvl w:val="0"/>
          <w:numId w:val="27"/>
        </w:numPr>
        <w:spacing w:after="0" w:line="240" w:lineRule="auto"/>
        <w:ind w:left="0"/>
        <w:jc w:val="both"/>
        <w:rPr>
          <w:rFonts w:ascii="Times New Roman" w:hAnsi="Times New Roman" w:cs="Times New Roman"/>
          <w:sz w:val="19"/>
          <w:szCs w:val="19"/>
        </w:rPr>
      </w:pPr>
      <w:r w:rsidRPr="002A75D6">
        <w:rPr>
          <w:rFonts w:ascii="Times New Roman" w:hAnsi="Times New Roman" w:cs="Times New Roman"/>
          <w:sz w:val="19"/>
          <w:szCs w:val="19"/>
        </w:rPr>
        <w:t>tale modalità operativa consente al Comune di ____________________ di perseguire il risultato dell’affidamento del contratto e della sua esecuzione con la massima tempestività e il migliore rapporto possibile tra qualità e prezzo, nel rispetto dei principi di legalità, trasparenza e concorrenza, è</w:t>
      </w:r>
      <w:r w:rsidR="002A75D6" w:rsidRPr="002A75D6">
        <w:rPr>
          <w:rFonts w:ascii="Times New Roman" w:hAnsi="Times New Roman" w:cs="Times New Roman"/>
          <w:sz w:val="19"/>
          <w:szCs w:val="19"/>
        </w:rPr>
        <w:t xml:space="preserve">, inoltre, </w:t>
      </w:r>
      <w:r w:rsidRPr="002A75D6">
        <w:rPr>
          <w:rFonts w:ascii="Times New Roman" w:hAnsi="Times New Roman" w:cs="Times New Roman"/>
          <w:sz w:val="19"/>
          <w:szCs w:val="19"/>
        </w:rPr>
        <w:t>funzionale a conseguire il miglior risultato possibile nell’affidare ed eseguire i contratti</w:t>
      </w:r>
      <w:r w:rsidR="002A75D6" w:rsidRPr="002A75D6">
        <w:rPr>
          <w:rFonts w:ascii="Times New Roman" w:hAnsi="Times New Roman" w:cs="Times New Roman"/>
          <w:sz w:val="19"/>
          <w:szCs w:val="19"/>
        </w:rPr>
        <w:t xml:space="preserve"> e a garantire la</w:t>
      </w:r>
      <w:r w:rsidRPr="002A75D6">
        <w:rPr>
          <w:rFonts w:ascii="Times New Roman" w:hAnsi="Times New Roman" w:cs="Times New Roman"/>
          <w:sz w:val="19"/>
          <w:szCs w:val="19"/>
        </w:rPr>
        <w:t xml:space="preserve"> massima semplicità </w:t>
      </w:r>
      <w:r w:rsidR="002A75D6" w:rsidRPr="002A75D6">
        <w:rPr>
          <w:rFonts w:ascii="Times New Roman" w:hAnsi="Times New Roman" w:cs="Times New Roman"/>
          <w:sz w:val="19"/>
          <w:szCs w:val="19"/>
        </w:rPr>
        <w:t xml:space="preserve">ed è, infine, </w:t>
      </w:r>
      <w:r w:rsidRPr="002A75D6">
        <w:rPr>
          <w:rFonts w:ascii="Times New Roman" w:hAnsi="Times New Roman" w:cs="Times New Roman"/>
          <w:sz w:val="19"/>
          <w:szCs w:val="19"/>
        </w:rPr>
        <w:t xml:space="preserve">volta al rispetto del principio del risultato </w:t>
      </w:r>
      <w:r w:rsidR="002A75D6">
        <w:rPr>
          <w:rFonts w:ascii="Times New Roman" w:hAnsi="Times New Roman" w:cs="Times New Roman"/>
          <w:sz w:val="19"/>
          <w:szCs w:val="19"/>
        </w:rPr>
        <w:t xml:space="preserve">che </w:t>
      </w:r>
      <w:r w:rsidRPr="002A75D6">
        <w:rPr>
          <w:rFonts w:ascii="Times New Roman" w:hAnsi="Times New Roman" w:cs="Times New Roman"/>
          <w:sz w:val="19"/>
          <w:szCs w:val="19"/>
        </w:rPr>
        <w:t>costituisce attuazione, nel settore dei contratti pubblici, del principio del buon andamento e dei correlati principi di efficienza, efficacia ed economicità;</w:t>
      </w:r>
    </w:p>
    <w:p w14:paraId="5B51A679" w14:textId="54D5797C" w:rsidR="002A75D6" w:rsidRPr="00ED736F" w:rsidRDefault="002A75D6" w:rsidP="002A75D6">
      <w:pPr>
        <w:pStyle w:val="Paragrafoelenco"/>
        <w:spacing w:after="0" w:line="240" w:lineRule="auto"/>
        <w:ind w:left="0"/>
        <w:contextualSpacing w:val="0"/>
        <w:jc w:val="both"/>
        <w:rPr>
          <w:rFonts w:ascii="Times New Roman" w:hAnsi="Times New Roman" w:cs="Times New Roman"/>
          <w:sz w:val="19"/>
          <w:szCs w:val="19"/>
        </w:rPr>
      </w:pPr>
      <w:r w:rsidRPr="00ED736F">
        <w:rPr>
          <w:rFonts w:ascii="Times New Roman" w:hAnsi="Times New Roman" w:cs="Times New Roman"/>
          <w:b/>
          <w:bCs/>
          <w:sz w:val="19"/>
          <w:szCs w:val="19"/>
        </w:rPr>
        <w:t>RITENUTO</w:t>
      </w:r>
      <w:r w:rsidRPr="00ED736F">
        <w:rPr>
          <w:rFonts w:ascii="Times New Roman" w:hAnsi="Times New Roman" w:cs="Times New Roman"/>
          <w:sz w:val="19"/>
          <w:szCs w:val="19"/>
        </w:rPr>
        <w:t xml:space="preserve"> necessario stipulare apposito accordo di collaborazione, ai sensi dell’art.15 della legge 241/90 e s.m.i., </w:t>
      </w:r>
      <w:r w:rsidR="00CD413C">
        <w:rPr>
          <w:rFonts w:ascii="Times New Roman" w:hAnsi="Times New Roman" w:cs="Times New Roman"/>
          <w:sz w:val="19"/>
          <w:szCs w:val="19"/>
        </w:rPr>
        <w:t xml:space="preserve">tra il Comune di ____________________ e </w:t>
      </w:r>
      <w:r w:rsidRPr="00ED736F">
        <w:rPr>
          <w:rFonts w:ascii="Times New Roman" w:hAnsi="Times New Roman" w:cs="Times New Roman"/>
          <w:sz w:val="19"/>
          <w:szCs w:val="19"/>
        </w:rPr>
        <w:t xml:space="preserve">la stazione appaltante qualificata Comunità Montana Tanagro Alto e Medio Sele, </w:t>
      </w:r>
      <w:r w:rsidR="00CD413C">
        <w:rPr>
          <w:rFonts w:ascii="Times New Roman" w:hAnsi="Times New Roman" w:cs="Times New Roman"/>
          <w:sz w:val="19"/>
          <w:szCs w:val="19"/>
        </w:rPr>
        <w:t>per disciplinare le attività di committenza ausiliaria di cui a</w:t>
      </w:r>
      <w:r w:rsidR="00CD413C" w:rsidRPr="00ED736F">
        <w:rPr>
          <w:rFonts w:ascii="Times New Roman" w:hAnsi="Times New Roman" w:cs="Times New Roman"/>
          <w:sz w:val="19"/>
          <w:szCs w:val="19"/>
        </w:rPr>
        <w:t>gli artt. 62 e 63 del d. lgs n.36/2023</w:t>
      </w:r>
      <w:r w:rsidR="00CD413C">
        <w:rPr>
          <w:rFonts w:ascii="Times New Roman" w:hAnsi="Times New Roman" w:cs="Times New Roman"/>
          <w:sz w:val="19"/>
          <w:szCs w:val="19"/>
        </w:rPr>
        <w:t xml:space="preserve"> e delle norme di settore;</w:t>
      </w:r>
    </w:p>
    <w:p w14:paraId="666C576E" w14:textId="0D462B4C" w:rsidR="002A75D6" w:rsidRPr="00ED736F" w:rsidRDefault="002A75D6" w:rsidP="002A75D6">
      <w:pPr>
        <w:pStyle w:val="Paragrafoelenco"/>
        <w:spacing w:after="0" w:line="240" w:lineRule="auto"/>
        <w:ind w:left="0"/>
        <w:contextualSpacing w:val="0"/>
        <w:jc w:val="both"/>
        <w:rPr>
          <w:rFonts w:ascii="Times New Roman" w:hAnsi="Times New Roman" w:cs="Times New Roman"/>
          <w:b/>
          <w:bCs/>
          <w:sz w:val="19"/>
          <w:szCs w:val="19"/>
        </w:rPr>
      </w:pPr>
      <w:r w:rsidRPr="00ED736F">
        <w:rPr>
          <w:rFonts w:ascii="Times New Roman" w:hAnsi="Times New Roman" w:cs="Times New Roman"/>
          <w:b/>
          <w:bCs/>
          <w:sz w:val="19"/>
          <w:szCs w:val="19"/>
        </w:rPr>
        <w:t>VIST</w:t>
      </w:r>
      <w:r w:rsidR="00CD413C">
        <w:rPr>
          <w:rFonts w:ascii="Times New Roman" w:hAnsi="Times New Roman" w:cs="Times New Roman"/>
          <w:b/>
          <w:bCs/>
          <w:sz w:val="19"/>
          <w:szCs w:val="19"/>
        </w:rPr>
        <w:t>O</w:t>
      </w:r>
      <w:r w:rsidRPr="00ED736F">
        <w:rPr>
          <w:rFonts w:ascii="Times New Roman" w:hAnsi="Times New Roman" w:cs="Times New Roman"/>
          <w:b/>
          <w:bCs/>
          <w:sz w:val="19"/>
          <w:szCs w:val="19"/>
        </w:rPr>
        <w:t xml:space="preserve"> e LETT</w:t>
      </w:r>
      <w:r w:rsidR="00CD413C">
        <w:rPr>
          <w:rFonts w:ascii="Times New Roman" w:hAnsi="Times New Roman" w:cs="Times New Roman"/>
          <w:b/>
          <w:bCs/>
          <w:sz w:val="19"/>
          <w:szCs w:val="19"/>
        </w:rPr>
        <w:t>O</w:t>
      </w:r>
      <w:r w:rsidRPr="00ED736F">
        <w:rPr>
          <w:rFonts w:ascii="Times New Roman" w:hAnsi="Times New Roman" w:cs="Times New Roman"/>
          <w:b/>
          <w:bCs/>
          <w:sz w:val="19"/>
          <w:szCs w:val="19"/>
        </w:rPr>
        <w:t xml:space="preserve"> </w:t>
      </w:r>
      <w:r w:rsidRPr="00ED736F">
        <w:rPr>
          <w:rFonts w:ascii="Times New Roman" w:hAnsi="Times New Roman" w:cs="Times New Roman"/>
          <w:sz w:val="19"/>
          <w:szCs w:val="19"/>
        </w:rPr>
        <w:t>l’allegat</w:t>
      </w:r>
      <w:r w:rsidR="00CD413C">
        <w:rPr>
          <w:rFonts w:ascii="Times New Roman" w:hAnsi="Times New Roman" w:cs="Times New Roman"/>
          <w:sz w:val="19"/>
          <w:szCs w:val="19"/>
        </w:rPr>
        <w:t xml:space="preserve">o </w:t>
      </w:r>
      <w:r w:rsidRPr="00ED736F">
        <w:rPr>
          <w:rFonts w:ascii="Times New Roman" w:hAnsi="Times New Roman" w:cs="Times New Roman"/>
          <w:sz w:val="19"/>
          <w:szCs w:val="19"/>
        </w:rPr>
        <w:t xml:space="preserve">accordo di collaborazione da stipulare tra la Comunità Montana Tanagro Alto e Medio Sele, quale stazione appaltante qualificata, e </w:t>
      </w:r>
      <w:r w:rsidR="00CD413C">
        <w:rPr>
          <w:rFonts w:ascii="Times New Roman" w:hAnsi="Times New Roman" w:cs="Times New Roman"/>
          <w:sz w:val="19"/>
          <w:szCs w:val="19"/>
        </w:rPr>
        <w:t xml:space="preserve">il Comune di ___________________ per le </w:t>
      </w:r>
      <w:r w:rsidRPr="00ED736F">
        <w:rPr>
          <w:rFonts w:ascii="Times New Roman" w:hAnsi="Times New Roman" w:cs="Times New Roman"/>
          <w:sz w:val="19"/>
          <w:szCs w:val="19"/>
        </w:rPr>
        <w:t xml:space="preserve">attività </w:t>
      </w:r>
      <w:r w:rsidR="00CD413C">
        <w:rPr>
          <w:rFonts w:ascii="Times New Roman" w:hAnsi="Times New Roman" w:cs="Times New Roman"/>
          <w:sz w:val="19"/>
          <w:szCs w:val="19"/>
        </w:rPr>
        <w:t>di cui a</w:t>
      </w:r>
      <w:r w:rsidRPr="00ED736F">
        <w:rPr>
          <w:rFonts w:ascii="Times New Roman" w:hAnsi="Times New Roman" w:cs="Times New Roman"/>
          <w:sz w:val="19"/>
          <w:szCs w:val="19"/>
        </w:rPr>
        <w:t>gli artt. 62 e 63 del d. lgs. n.36/2023 e delle altre norme di settore;</w:t>
      </w:r>
      <w:r w:rsidRPr="00ED736F">
        <w:rPr>
          <w:rFonts w:ascii="Times New Roman" w:hAnsi="Times New Roman" w:cs="Times New Roman"/>
          <w:b/>
          <w:bCs/>
          <w:sz w:val="19"/>
          <w:szCs w:val="19"/>
        </w:rPr>
        <w:t xml:space="preserve">      </w:t>
      </w:r>
    </w:p>
    <w:p w14:paraId="22C6D26A" w14:textId="41A4CE5D" w:rsidR="00776072" w:rsidRPr="00ED736F" w:rsidRDefault="00F44B21" w:rsidP="002A75D6">
      <w:pPr>
        <w:spacing w:after="0" w:line="240" w:lineRule="auto"/>
        <w:jc w:val="both"/>
        <w:rPr>
          <w:rFonts w:ascii="Times New Roman" w:hAnsi="Times New Roman" w:cs="Times New Roman"/>
          <w:sz w:val="19"/>
          <w:szCs w:val="19"/>
        </w:rPr>
      </w:pPr>
      <w:r w:rsidRPr="002A75D6">
        <w:rPr>
          <w:rFonts w:ascii="Times New Roman" w:hAnsi="Times New Roman" w:cs="Times New Roman"/>
          <w:b/>
          <w:bCs/>
          <w:sz w:val="19"/>
          <w:szCs w:val="19"/>
        </w:rPr>
        <w:t>VIST</w:t>
      </w:r>
      <w:r w:rsidR="002A75D6" w:rsidRPr="002A75D6">
        <w:rPr>
          <w:rFonts w:ascii="Times New Roman" w:hAnsi="Times New Roman" w:cs="Times New Roman"/>
          <w:b/>
          <w:bCs/>
          <w:sz w:val="19"/>
          <w:szCs w:val="19"/>
        </w:rPr>
        <w:t>I</w:t>
      </w:r>
      <w:r w:rsidR="002A75D6">
        <w:rPr>
          <w:rFonts w:ascii="Times New Roman" w:hAnsi="Times New Roman" w:cs="Times New Roman"/>
          <w:b/>
          <w:bCs/>
          <w:sz w:val="19"/>
          <w:szCs w:val="19"/>
        </w:rPr>
        <w:t xml:space="preserve">: </w:t>
      </w:r>
      <w:r w:rsidRPr="00F44B21">
        <w:rPr>
          <w:rFonts w:ascii="Times New Roman" w:hAnsi="Times New Roman" w:cs="Times New Roman"/>
          <w:sz w:val="19"/>
          <w:szCs w:val="19"/>
        </w:rPr>
        <w:t>l’articolo 15 della citata Legge 7 agosto 1990, n. 241</w:t>
      </w:r>
      <w:r w:rsidR="002A75D6">
        <w:rPr>
          <w:rFonts w:ascii="Times New Roman" w:hAnsi="Times New Roman" w:cs="Times New Roman"/>
          <w:sz w:val="19"/>
          <w:szCs w:val="19"/>
        </w:rPr>
        <w:t>, i</w:t>
      </w:r>
      <w:r w:rsidRPr="00F44B21">
        <w:rPr>
          <w:rFonts w:ascii="Times New Roman" w:hAnsi="Times New Roman" w:cs="Times New Roman"/>
          <w:sz w:val="19"/>
          <w:szCs w:val="19"/>
        </w:rPr>
        <w:t>l Codice dei contratti pubblici approvato con d.lgs. del 31 marzo 2023 n. 36</w:t>
      </w:r>
      <w:r w:rsidR="002A75D6">
        <w:rPr>
          <w:rFonts w:ascii="Times New Roman" w:hAnsi="Times New Roman" w:cs="Times New Roman"/>
          <w:sz w:val="19"/>
          <w:szCs w:val="19"/>
        </w:rPr>
        <w:t xml:space="preserve">, il </w:t>
      </w:r>
      <w:r w:rsidRPr="00F44B21">
        <w:rPr>
          <w:rFonts w:ascii="Times New Roman" w:hAnsi="Times New Roman" w:cs="Times New Roman"/>
          <w:sz w:val="19"/>
          <w:szCs w:val="19"/>
        </w:rPr>
        <w:t>d.lgs. 18 agosto 2000 n. 267</w:t>
      </w:r>
      <w:r w:rsidR="002A75D6">
        <w:rPr>
          <w:rFonts w:ascii="Times New Roman" w:hAnsi="Times New Roman" w:cs="Times New Roman"/>
          <w:sz w:val="19"/>
          <w:szCs w:val="19"/>
        </w:rPr>
        <w:t xml:space="preserve"> il </w:t>
      </w:r>
      <w:r w:rsidR="00776072" w:rsidRPr="00ED736F">
        <w:rPr>
          <w:rFonts w:ascii="Times New Roman" w:hAnsi="Times New Roman" w:cs="Times New Roman"/>
          <w:sz w:val="19"/>
          <w:szCs w:val="19"/>
        </w:rPr>
        <w:t xml:space="preserve">D.P.C.M. 30.6.2011, pubblicato in G.U. n.200 in data 29.8.2011, e in particolare gli artt. 3 e 4;  </w:t>
      </w:r>
    </w:p>
    <w:p w14:paraId="4B27A05D" w14:textId="10019336" w:rsidR="008908DD" w:rsidRPr="00ED736F" w:rsidRDefault="008908DD" w:rsidP="00821672">
      <w:pPr>
        <w:spacing w:after="0" w:line="240" w:lineRule="auto"/>
        <w:jc w:val="both"/>
        <w:rPr>
          <w:rFonts w:ascii="Times New Roman" w:hAnsi="Times New Roman" w:cs="Times New Roman"/>
          <w:sz w:val="19"/>
          <w:szCs w:val="19"/>
        </w:rPr>
      </w:pPr>
      <w:r w:rsidRPr="00ED736F">
        <w:rPr>
          <w:rFonts w:ascii="Times New Roman" w:hAnsi="Times New Roman" w:cs="Times New Roman"/>
          <w:b/>
          <w:bCs/>
          <w:sz w:val="19"/>
          <w:szCs w:val="19"/>
        </w:rPr>
        <w:t xml:space="preserve">RICHIAMATI </w:t>
      </w:r>
      <w:r w:rsidRPr="00ED736F">
        <w:rPr>
          <w:rFonts w:ascii="Times New Roman" w:hAnsi="Times New Roman" w:cs="Times New Roman"/>
          <w:sz w:val="19"/>
          <w:szCs w:val="19"/>
        </w:rPr>
        <w:t>gli artt.1 (Principio del Risultato), 2 (Principio della fiducia), 3 (Principio dell’accesso al mercato)</w:t>
      </w:r>
      <w:r w:rsidR="00FC418C" w:rsidRPr="00ED736F">
        <w:rPr>
          <w:rFonts w:ascii="Times New Roman" w:hAnsi="Times New Roman" w:cs="Times New Roman"/>
          <w:sz w:val="19"/>
          <w:szCs w:val="19"/>
        </w:rPr>
        <w:t xml:space="preserve">, </w:t>
      </w:r>
      <w:r w:rsidR="003A3E3A" w:rsidRPr="00ED736F">
        <w:rPr>
          <w:rFonts w:ascii="Times New Roman" w:hAnsi="Times New Roman" w:cs="Times New Roman"/>
          <w:sz w:val="19"/>
          <w:szCs w:val="19"/>
        </w:rPr>
        <w:t>6 (Principi di solidarietà e di sussidiarietà orizzontale), 7 (Principio di auto-organizzazione amministrativa)</w:t>
      </w:r>
      <w:r w:rsidR="000E11CF" w:rsidRPr="00ED736F">
        <w:rPr>
          <w:rFonts w:ascii="Times New Roman" w:hAnsi="Times New Roman" w:cs="Times New Roman"/>
          <w:sz w:val="19"/>
          <w:szCs w:val="19"/>
        </w:rPr>
        <w:t xml:space="preserve"> e </w:t>
      </w:r>
      <w:r w:rsidR="00FC418C" w:rsidRPr="00ED736F">
        <w:rPr>
          <w:rFonts w:ascii="Times New Roman" w:hAnsi="Times New Roman" w:cs="Times New Roman"/>
          <w:sz w:val="19"/>
          <w:szCs w:val="19"/>
        </w:rPr>
        <w:t>8 (Principio di autonomia contrattuale)</w:t>
      </w:r>
      <w:r w:rsidRPr="00ED736F">
        <w:rPr>
          <w:rFonts w:ascii="Times New Roman" w:hAnsi="Times New Roman" w:cs="Times New Roman"/>
          <w:sz w:val="19"/>
          <w:szCs w:val="19"/>
        </w:rPr>
        <w:t xml:space="preserve"> del </w:t>
      </w:r>
      <w:r w:rsidR="000E11CF" w:rsidRPr="00ED736F">
        <w:rPr>
          <w:rFonts w:ascii="Times New Roman" w:hAnsi="Times New Roman" w:cs="Times New Roman"/>
          <w:sz w:val="19"/>
          <w:szCs w:val="19"/>
        </w:rPr>
        <w:t>d</w:t>
      </w:r>
      <w:r w:rsidRPr="00ED736F">
        <w:rPr>
          <w:rFonts w:ascii="Times New Roman" w:hAnsi="Times New Roman" w:cs="Times New Roman"/>
          <w:sz w:val="19"/>
          <w:szCs w:val="19"/>
        </w:rPr>
        <w:t>.</w:t>
      </w:r>
      <w:r w:rsidR="00B12D6B" w:rsidRPr="00ED736F">
        <w:rPr>
          <w:rFonts w:ascii="Times New Roman" w:hAnsi="Times New Roman" w:cs="Times New Roman"/>
          <w:sz w:val="19"/>
          <w:szCs w:val="19"/>
        </w:rPr>
        <w:t xml:space="preserve"> </w:t>
      </w:r>
      <w:r w:rsidR="000E11CF" w:rsidRPr="00ED736F">
        <w:rPr>
          <w:rFonts w:ascii="Times New Roman" w:hAnsi="Times New Roman" w:cs="Times New Roman"/>
          <w:sz w:val="19"/>
          <w:szCs w:val="19"/>
        </w:rPr>
        <w:t>l</w:t>
      </w:r>
      <w:r w:rsidRPr="00ED736F">
        <w:rPr>
          <w:rFonts w:ascii="Times New Roman" w:hAnsi="Times New Roman" w:cs="Times New Roman"/>
          <w:sz w:val="19"/>
          <w:szCs w:val="19"/>
        </w:rPr>
        <w:t>gs. n.</w:t>
      </w:r>
      <w:r w:rsidR="00B12D6B" w:rsidRPr="00ED736F">
        <w:rPr>
          <w:rFonts w:ascii="Times New Roman" w:hAnsi="Times New Roman" w:cs="Times New Roman"/>
          <w:sz w:val="19"/>
          <w:szCs w:val="19"/>
        </w:rPr>
        <w:t xml:space="preserve"> </w:t>
      </w:r>
      <w:r w:rsidRPr="00ED736F">
        <w:rPr>
          <w:rFonts w:ascii="Times New Roman" w:hAnsi="Times New Roman" w:cs="Times New Roman"/>
          <w:sz w:val="19"/>
          <w:szCs w:val="19"/>
        </w:rPr>
        <w:t>36/2023</w:t>
      </w:r>
      <w:r w:rsidR="00143EBB" w:rsidRPr="00ED736F">
        <w:rPr>
          <w:rFonts w:ascii="Times New Roman" w:hAnsi="Times New Roman" w:cs="Times New Roman"/>
          <w:sz w:val="19"/>
          <w:szCs w:val="19"/>
        </w:rPr>
        <w:t>;</w:t>
      </w:r>
    </w:p>
    <w:p w14:paraId="2FAD4F35" w14:textId="474B6BA9" w:rsidR="00BB4B53" w:rsidRPr="00ED736F" w:rsidRDefault="00BB4B53" w:rsidP="00821672">
      <w:pPr>
        <w:spacing w:after="0" w:line="240" w:lineRule="auto"/>
        <w:jc w:val="both"/>
        <w:rPr>
          <w:rFonts w:ascii="Times New Roman" w:eastAsia="Calibri" w:hAnsi="Times New Roman" w:cs="Times New Roman"/>
          <w:bCs/>
          <w:kern w:val="0"/>
          <w:sz w:val="19"/>
          <w:szCs w:val="19"/>
          <w14:ligatures w14:val="none"/>
        </w:rPr>
      </w:pPr>
      <w:r w:rsidRPr="00ED736F">
        <w:rPr>
          <w:rFonts w:ascii="Times New Roman" w:eastAsia="Calibri" w:hAnsi="Times New Roman" w:cs="Times New Roman"/>
          <w:b/>
          <w:bCs/>
          <w:kern w:val="0"/>
          <w:sz w:val="19"/>
          <w:szCs w:val="19"/>
          <w14:ligatures w14:val="none"/>
        </w:rPr>
        <w:t>RICHIAMATO</w:t>
      </w:r>
      <w:r w:rsidRPr="00ED736F">
        <w:rPr>
          <w:rFonts w:ascii="Times New Roman" w:eastAsia="Calibri" w:hAnsi="Times New Roman" w:cs="Times New Roman"/>
          <w:b/>
          <w:kern w:val="0"/>
          <w:sz w:val="19"/>
          <w:szCs w:val="19"/>
          <w14:ligatures w14:val="none"/>
        </w:rPr>
        <w:t xml:space="preserve"> </w:t>
      </w:r>
      <w:r w:rsidRPr="00ED736F">
        <w:rPr>
          <w:rFonts w:ascii="Times New Roman" w:eastAsia="Calibri" w:hAnsi="Times New Roman" w:cs="Times New Roman"/>
          <w:bCs/>
          <w:kern w:val="0"/>
          <w:sz w:val="19"/>
          <w:szCs w:val="19"/>
          <w14:ligatures w14:val="none"/>
        </w:rPr>
        <w:t xml:space="preserve">l’art. 48 del d. lgs n.267/00 e s.m.i, in ordine alla competenza dell’organo deliberante; </w:t>
      </w:r>
    </w:p>
    <w:p w14:paraId="26C47E78" w14:textId="796F46AF" w:rsidR="00BB4B53" w:rsidRPr="00ED736F" w:rsidRDefault="00BB4B53" w:rsidP="00821672">
      <w:pPr>
        <w:spacing w:after="0" w:line="240" w:lineRule="auto"/>
        <w:jc w:val="both"/>
        <w:rPr>
          <w:rFonts w:ascii="Times New Roman" w:eastAsia="Calibri" w:hAnsi="Times New Roman" w:cs="Times New Roman"/>
          <w:bCs/>
          <w:kern w:val="0"/>
          <w:sz w:val="19"/>
          <w:szCs w:val="19"/>
          <w14:ligatures w14:val="none"/>
        </w:rPr>
      </w:pPr>
      <w:r w:rsidRPr="00ED736F">
        <w:rPr>
          <w:rFonts w:ascii="Times New Roman" w:eastAsia="Calibri" w:hAnsi="Times New Roman" w:cs="Times New Roman"/>
          <w:b/>
          <w:bCs/>
          <w:kern w:val="0"/>
          <w:sz w:val="19"/>
          <w:szCs w:val="19"/>
          <w14:ligatures w14:val="none"/>
        </w:rPr>
        <w:t>ACQUISITI</w:t>
      </w:r>
      <w:r w:rsidRPr="00ED736F">
        <w:rPr>
          <w:rFonts w:ascii="Times New Roman" w:eastAsia="Calibri" w:hAnsi="Times New Roman" w:cs="Times New Roman"/>
          <w:b/>
          <w:kern w:val="0"/>
          <w:sz w:val="19"/>
          <w:szCs w:val="19"/>
          <w14:ligatures w14:val="none"/>
        </w:rPr>
        <w:t xml:space="preserve"> </w:t>
      </w:r>
      <w:r w:rsidRPr="00ED736F">
        <w:rPr>
          <w:rFonts w:ascii="Times New Roman" w:eastAsia="Calibri" w:hAnsi="Times New Roman" w:cs="Times New Roman"/>
          <w:bCs/>
          <w:kern w:val="0"/>
          <w:sz w:val="19"/>
          <w:szCs w:val="19"/>
          <w14:ligatures w14:val="none"/>
        </w:rPr>
        <w:t>i pareri favorevoli di regolarità tecnica e contabile, espressi ai sensi dell'articolo 49 del decreto legislativo n. 267/2000 e s.m.i e del regolamento dei controlli interni, attestanti</w:t>
      </w:r>
      <w:r w:rsidR="00CD413C">
        <w:rPr>
          <w:rFonts w:ascii="Times New Roman" w:eastAsia="Calibri" w:hAnsi="Times New Roman" w:cs="Times New Roman"/>
          <w:bCs/>
          <w:kern w:val="0"/>
          <w:sz w:val="19"/>
          <w:szCs w:val="19"/>
          <w14:ligatures w14:val="none"/>
        </w:rPr>
        <w:t xml:space="preserve"> </w:t>
      </w:r>
      <w:r w:rsidRPr="00ED736F">
        <w:rPr>
          <w:rFonts w:ascii="Times New Roman" w:eastAsia="Calibri" w:hAnsi="Times New Roman" w:cs="Times New Roman"/>
          <w:bCs/>
          <w:kern w:val="0"/>
          <w:sz w:val="19"/>
          <w:szCs w:val="19"/>
          <w14:ligatures w14:val="none"/>
        </w:rPr>
        <w:t xml:space="preserve">la copertura finanziaria, il rispetto dei principi contabili, la </w:t>
      </w:r>
      <w:r w:rsidRPr="00ED736F">
        <w:rPr>
          <w:rFonts w:ascii="Times New Roman" w:eastAsia="Calibri" w:hAnsi="Times New Roman" w:cs="Times New Roman"/>
          <w:bCs/>
          <w:kern w:val="0"/>
          <w:sz w:val="19"/>
          <w:szCs w:val="19"/>
          <w14:ligatures w14:val="none"/>
        </w:rPr>
        <w:lastRenderedPageBreak/>
        <w:t>completezza della documentazione, la valutazione sulla correttezza della spesa, il rispetto del principio di integrità del bilancio e la legittimità della spesa;</w:t>
      </w:r>
    </w:p>
    <w:p w14:paraId="0A7B572D" w14:textId="06A1381A" w:rsidR="00BB4B53" w:rsidRPr="00ED736F" w:rsidRDefault="00BB4B53" w:rsidP="00821672">
      <w:pPr>
        <w:spacing w:after="0" w:line="240" w:lineRule="auto"/>
        <w:jc w:val="both"/>
        <w:rPr>
          <w:rFonts w:ascii="Times New Roman" w:eastAsia="Calibri" w:hAnsi="Times New Roman" w:cs="Times New Roman"/>
          <w:b/>
          <w:kern w:val="0"/>
          <w:sz w:val="19"/>
          <w:szCs w:val="19"/>
          <w14:ligatures w14:val="none"/>
        </w:rPr>
      </w:pPr>
      <w:r w:rsidRPr="00ED736F">
        <w:rPr>
          <w:rFonts w:ascii="Times New Roman" w:eastAsia="Calibri" w:hAnsi="Times New Roman" w:cs="Times New Roman"/>
          <w:b/>
          <w:kern w:val="0"/>
          <w:sz w:val="19"/>
          <w:szCs w:val="19"/>
          <w14:ligatures w14:val="none"/>
        </w:rPr>
        <w:t xml:space="preserve">CONSIDERATO </w:t>
      </w:r>
      <w:r w:rsidRPr="00ED736F">
        <w:rPr>
          <w:rFonts w:ascii="Times New Roman" w:eastAsia="Calibri" w:hAnsi="Times New Roman" w:cs="Times New Roman"/>
          <w:bCs/>
          <w:kern w:val="0"/>
          <w:sz w:val="19"/>
          <w:szCs w:val="19"/>
          <w14:ligatures w14:val="none"/>
        </w:rPr>
        <w:t xml:space="preserve">tutto quanto sopra, con voto unanime e favorevole reso per appello nominale,  </w:t>
      </w:r>
    </w:p>
    <w:p w14:paraId="2556995D" w14:textId="77777777" w:rsidR="00BB4B53" w:rsidRPr="00ED736F" w:rsidRDefault="00BB4B53" w:rsidP="00821672">
      <w:pPr>
        <w:spacing w:after="0" w:line="240" w:lineRule="auto"/>
        <w:jc w:val="center"/>
        <w:rPr>
          <w:rFonts w:ascii="Times New Roman" w:eastAsia="Calibri" w:hAnsi="Times New Roman" w:cs="Times New Roman"/>
          <w:b/>
          <w:kern w:val="0"/>
          <w:sz w:val="19"/>
          <w:szCs w:val="19"/>
          <w14:ligatures w14:val="none"/>
        </w:rPr>
      </w:pPr>
      <w:r w:rsidRPr="00ED736F">
        <w:rPr>
          <w:rFonts w:ascii="Times New Roman" w:eastAsia="Calibri" w:hAnsi="Times New Roman" w:cs="Times New Roman"/>
          <w:b/>
          <w:bCs/>
          <w:kern w:val="0"/>
          <w:sz w:val="19"/>
          <w:szCs w:val="19"/>
          <w14:ligatures w14:val="none"/>
        </w:rPr>
        <w:t>delibera</w:t>
      </w:r>
    </w:p>
    <w:p w14:paraId="06464DFE" w14:textId="77777777" w:rsidR="00BB4B53" w:rsidRPr="00ED736F" w:rsidRDefault="00BB4B53" w:rsidP="00821672">
      <w:pPr>
        <w:numPr>
          <w:ilvl w:val="0"/>
          <w:numId w:val="33"/>
        </w:numPr>
        <w:spacing w:after="0" w:line="240" w:lineRule="auto"/>
        <w:ind w:left="0"/>
        <w:jc w:val="both"/>
        <w:rPr>
          <w:rFonts w:ascii="Times New Roman" w:eastAsia="Calibri" w:hAnsi="Times New Roman" w:cs="Times New Roman"/>
          <w:kern w:val="0"/>
          <w:sz w:val="19"/>
          <w:szCs w:val="19"/>
          <w14:ligatures w14:val="none"/>
        </w:rPr>
      </w:pPr>
      <w:r w:rsidRPr="00ED736F">
        <w:rPr>
          <w:rFonts w:ascii="Times New Roman" w:eastAsia="Calibri" w:hAnsi="Times New Roman" w:cs="Times New Roman"/>
          <w:b/>
          <w:bCs/>
          <w:kern w:val="0"/>
          <w:sz w:val="19"/>
          <w:szCs w:val="19"/>
          <w14:ligatures w14:val="none"/>
        </w:rPr>
        <w:t>dare atto</w:t>
      </w:r>
      <w:r w:rsidRPr="00ED736F">
        <w:rPr>
          <w:rFonts w:ascii="Times New Roman" w:eastAsia="Calibri" w:hAnsi="Times New Roman" w:cs="Times New Roman"/>
          <w:b/>
          <w:kern w:val="0"/>
          <w:sz w:val="19"/>
          <w:szCs w:val="19"/>
          <w14:ligatures w14:val="none"/>
        </w:rPr>
        <w:t xml:space="preserve"> che </w:t>
      </w:r>
      <w:r w:rsidRPr="00ED736F">
        <w:rPr>
          <w:rFonts w:ascii="Times New Roman" w:eastAsia="Calibri" w:hAnsi="Times New Roman" w:cs="Times New Roman"/>
          <w:bCs/>
          <w:kern w:val="0"/>
          <w:sz w:val="19"/>
          <w:szCs w:val="19"/>
          <w14:ligatures w14:val="none"/>
        </w:rPr>
        <w:t>la premessa narrativa, la quale qui si intende compiutamente riportata, costituisce parte integrante e sostanziale della presente deliberazione.</w:t>
      </w:r>
    </w:p>
    <w:p w14:paraId="522ACE82" w14:textId="7EB245ED" w:rsidR="00BB4B53" w:rsidRPr="00ED736F" w:rsidRDefault="00BB4B53" w:rsidP="00821672">
      <w:pPr>
        <w:numPr>
          <w:ilvl w:val="0"/>
          <w:numId w:val="33"/>
        </w:numPr>
        <w:spacing w:after="0" w:line="240" w:lineRule="auto"/>
        <w:ind w:left="0"/>
        <w:jc w:val="both"/>
        <w:rPr>
          <w:rFonts w:ascii="Times New Roman" w:eastAsia="Calibri" w:hAnsi="Times New Roman" w:cs="Times New Roman"/>
          <w:bCs/>
          <w:kern w:val="0"/>
          <w:sz w:val="19"/>
          <w:szCs w:val="19"/>
          <w14:ligatures w14:val="none"/>
        </w:rPr>
      </w:pPr>
      <w:r w:rsidRPr="00ED736F">
        <w:rPr>
          <w:rFonts w:ascii="Times New Roman" w:eastAsia="Calibri" w:hAnsi="Times New Roman" w:cs="Times New Roman"/>
          <w:b/>
          <w:kern w:val="0"/>
          <w:sz w:val="19"/>
          <w:szCs w:val="19"/>
          <w14:ligatures w14:val="none"/>
        </w:rPr>
        <w:t xml:space="preserve">Di </w:t>
      </w:r>
      <w:bookmarkStart w:id="0" w:name="_Hlk160721507"/>
      <w:r w:rsidRPr="00ED736F">
        <w:rPr>
          <w:rFonts w:ascii="Times New Roman" w:eastAsia="Calibri" w:hAnsi="Times New Roman" w:cs="Times New Roman"/>
          <w:b/>
          <w:kern w:val="0"/>
          <w:sz w:val="19"/>
          <w:szCs w:val="19"/>
          <w14:ligatures w14:val="none"/>
        </w:rPr>
        <w:t>approvare</w:t>
      </w:r>
      <w:r w:rsidRPr="00ED736F">
        <w:rPr>
          <w:rFonts w:ascii="Times New Roman" w:eastAsia="Calibri" w:hAnsi="Times New Roman" w:cs="Times New Roman"/>
          <w:bCs/>
          <w:kern w:val="0"/>
          <w:sz w:val="19"/>
          <w:szCs w:val="19"/>
          <w14:ligatures w14:val="none"/>
        </w:rPr>
        <w:t xml:space="preserve"> l’allegato accordo di collaborazione</w:t>
      </w:r>
      <w:r w:rsidR="00463896" w:rsidRPr="00ED736F">
        <w:rPr>
          <w:rFonts w:ascii="Times New Roman" w:eastAsia="Calibri" w:hAnsi="Times New Roman" w:cs="Times New Roman"/>
          <w:bCs/>
          <w:kern w:val="0"/>
          <w:sz w:val="19"/>
          <w:szCs w:val="19"/>
          <w14:ligatures w14:val="none"/>
        </w:rPr>
        <w:t>, costituito da 12 articoli numerati dall’uno al dodici, disciplinate lo svolgimento delle attività di committenza ausiliaria</w:t>
      </w:r>
      <w:r w:rsidR="00B9511E" w:rsidRPr="00ED736F">
        <w:rPr>
          <w:rFonts w:ascii="Times New Roman" w:eastAsia="Calibri" w:hAnsi="Times New Roman" w:cs="Times New Roman"/>
          <w:bCs/>
          <w:kern w:val="0"/>
          <w:sz w:val="19"/>
          <w:szCs w:val="19"/>
          <w14:ligatures w14:val="none"/>
        </w:rPr>
        <w:t xml:space="preserve"> e delle procedure di affidamento di beni, servizi e lavori</w:t>
      </w:r>
      <w:r w:rsidR="00463896" w:rsidRPr="00ED736F">
        <w:rPr>
          <w:rFonts w:ascii="Times New Roman" w:eastAsia="Calibri" w:hAnsi="Times New Roman" w:cs="Times New Roman"/>
          <w:bCs/>
          <w:kern w:val="0"/>
          <w:sz w:val="19"/>
          <w:szCs w:val="19"/>
          <w14:ligatures w14:val="none"/>
        </w:rPr>
        <w:t xml:space="preserve">, ai sensi degli artt. 62 e 63 del d. lgs n.36/2023 e delle altre norme di settore, tra </w:t>
      </w:r>
      <w:r w:rsidR="004D7965">
        <w:rPr>
          <w:rFonts w:ascii="Times New Roman" w:eastAsia="Calibri" w:hAnsi="Times New Roman" w:cs="Times New Roman"/>
          <w:bCs/>
          <w:kern w:val="0"/>
          <w:sz w:val="19"/>
          <w:szCs w:val="19"/>
          <w14:ligatures w14:val="none"/>
        </w:rPr>
        <w:t xml:space="preserve">il Comune di _____________________ e </w:t>
      </w:r>
      <w:r w:rsidR="00463896" w:rsidRPr="00ED736F">
        <w:rPr>
          <w:rFonts w:ascii="Times New Roman" w:eastAsia="Calibri" w:hAnsi="Times New Roman" w:cs="Times New Roman"/>
          <w:bCs/>
          <w:kern w:val="0"/>
          <w:sz w:val="19"/>
          <w:szCs w:val="19"/>
          <w14:ligatures w14:val="none"/>
        </w:rPr>
        <w:t>la stazione appaltante qualificata Comunità Montana Tanagro Alto e Medio Sele.</w:t>
      </w:r>
    </w:p>
    <w:p w14:paraId="011B69C2" w14:textId="25EDE222" w:rsidR="004D7965" w:rsidRPr="004D7965" w:rsidRDefault="00BB4B53" w:rsidP="004678FF">
      <w:pPr>
        <w:numPr>
          <w:ilvl w:val="0"/>
          <w:numId w:val="33"/>
        </w:numPr>
        <w:spacing w:after="0" w:line="240" w:lineRule="auto"/>
        <w:ind w:left="0"/>
        <w:jc w:val="both"/>
        <w:rPr>
          <w:rFonts w:ascii="Times New Roman" w:eastAsia="Calibri" w:hAnsi="Times New Roman" w:cs="Times New Roman"/>
          <w:bCs/>
          <w:kern w:val="0"/>
          <w:sz w:val="19"/>
          <w:szCs w:val="19"/>
          <w14:ligatures w14:val="none"/>
        </w:rPr>
      </w:pPr>
      <w:r w:rsidRPr="004D7965">
        <w:rPr>
          <w:rFonts w:ascii="Times New Roman" w:eastAsia="Calibri" w:hAnsi="Times New Roman" w:cs="Times New Roman"/>
          <w:b/>
          <w:kern w:val="0"/>
          <w:sz w:val="19"/>
          <w:szCs w:val="19"/>
          <w14:ligatures w14:val="none"/>
        </w:rPr>
        <w:t xml:space="preserve">Di </w:t>
      </w:r>
      <w:r w:rsidR="00463896" w:rsidRPr="004D7965">
        <w:rPr>
          <w:rFonts w:ascii="Times New Roman" w:eastAsia="Calibri" w:hAnsi="Times New Roman" w:cs="Times New Roman"/>
          <w:b/>
          <w:kern w:val="0"/>
          <w:sz w:val="19"/>
          <w:szCs w:val="19"/>
          <w14:ligatures w14:val="none"/>
        </w:rPr>
        <w:t xml:space="preserve">autorizzare </w:t>
      </w:r>
      <w:r w:rsidR="00463896" w:rsidRPr="004D7965">
        <w:rPr>
          <w:rFonts w:ascii="Times New Roman" w:eastAsia="Calibri" w:hAnsi="Times New Roman" w:cs="Times New Roman"/>
          <w:bCs/>
          <w:kern w:val="0"/>
          <w:sz w:val="19"/>
          <w:szCs w:val="19"/>
          <w14:ligatures w14:val="none"/>
        </w:rPr>
        <w:t xml:space="preserve">i responsabili </w:t>
      </w:r>
      <w:r w:rsidR="004D7965" w:rsidRPr="004D7965">
        <w:rPr>
          <w:rFonts w:ascii="Times New Roman" w:eastAsia="Calibri" w:hAnsi="Times New Roman" w:cs="Times New Roman"/>
          <w:bCs/>
          <w:kern w:val="0"/>
          <w:sz w:val="19"/>
          <w:szCs w:val="19"/>
          <w14:ligatures w14:val="none"/>
        </w:rPr>
        <w:t xml:space="preserve">e gli uffici a richiedere le attività di committenza ausiliaria e le procedure di affidamento di beni, servizi e lavori come disciplinate nell’accordo di cui al punto 2 della presente deliberazione. </w:t>
      </w:r>
    </w:p>
    <w:p w14:paraId="607D5B09" w14:textId="77777777" w:rsidR="000C55D0" w:rsidRDefault="004D7965" w:rsidP="004D7965">
      <w:pPr>
        <w:numPr>
          <w:ilvl w:val="0"/>
          <w:numId w:val="33"/>
        </w:numPr>
        <w:spacing w:after="0" w:line="240" w:lineRule="auto"/>
        <w:ind w:left="0"/>
        <w:jc w:val="both"/>
        <w:rPr>
          <w:rFonts w:ascii="Times New Roman" w:eastAsia="Calibri" w:hAnsi="Times New Roman" w:cs="Times New Roman"/>
          <w:bCs/>
          <w:kern w:val="0"/>
          <w:sz w:val="19"/>
          <w:szCs w:val="19"/>
          <w14:ligatures w14:val="none"/>
        </w:rPr>
      </w:pPr>
      <w:r w:rsidRPr="004D7965">
        <w:rPr>
          <w:rFonts w:ascii="Times New Roman" w:eastAsia="Calibri" w:hAnsi="Times New Roman" w:cs="Times New Roman"/>
          <w:b/>
          <w:kern w:val="0"/>
          <w:sz w:val="19"/>
          <w:szCs w:val="19"/>
          <w14:ligatures w14:val="none"/>
        </w:rPr>
        <w:t>Di autorizzare</w:t>
      </w:r>
      <w:r>
        <w:rPr>
          <w:rFonts w:ascii="Times New Roman" w:eastAsia="Calibri" w:hAnsi="Times New Roman" w:cs="Times New Roman"/>
          <w:bCs/>
          <w:kern w:val="0"/>
          <w:sz w:val="19"/>
          <w:szCs w:val="19"/>
          <w14:ligatures w14:val="none"/>
        </w:rPr>
        <w:t xml:space="preserve"> il sindaco o suo delegato alla sottoscrizione dell’accordo sopra riportato.</w:t>
      </w:r>
    </w:p>
    <w:p w14:paraId="60EB60FA" w14:textId="653CF30E" w:rsidR="004D7965" w:rsidRPr="00E91740" w:rsidRDefault="000C55D0" w:rsidP="004D7965">
      <w:pPr>
        <w:numPr>
          <w:ilvl w:val="0"/>
          <w:numId w:val="33"/>
        </w:numPr>
        <w:spacing w:after="0" w:line="240" w:lineRule="auto"/>
        <w:ind w:left="0"/>
        <w:jc w:val="both"/>
        <w:rPr>
          <w:rFonts w:ascii="Times New Roman" w:eastAsia="Calibri" w:hAnsi="Times New Roman" w:cs="Times New Roman"/>
          <w:bCs/>
          <w:kern w:val="0"/>
          <w:sz w:val="19"/>
          <w:szCs w:val="19"/>
          <w14:ligatures w14:val="none"/>
        </w:rPr>
      </w:pPr>
      <w:r>
        <w:rPr>
          <w:rFonts w:ascii="Times New Roman" w:eastAsia="Calibri" w:hAnsi="Times New Roman" w:cs="Times New Roman"/>
          <w:b/>
          <w:kern w:val="0"/>
          <w:sz w:val="19"/>
          <w:szCs w:val="19"/>
          <w14:ligatures w14:val="none"/>
        </w:rPr>
        <w:t>Di r</w:t>
      </w:r>
      <w:r w:rsidRPr="000C55D0">
        <w:rPr>
          <w:rFonts w:ascii="Times New Roman" w:eastAsia="Calibri" w:hAnsi="Times New Roman" w:cs="Times New Roman"/>
          <w:b/>
          <w:kern w:val="0"/>
          <w:sz w:val="19"/>
          <w:szCs w:val="19"/>
          <w14:ligatures w14:val="none"/>
        </w:rPr>
        <w:t xml:space="preserve">endere </w:t>
      </w:r>
      <w:r w:rsidRPr="00E91740">
        <w:rPr>
          <w:rFonts w:ascii="Times New Roman" w:eastAsia="Calibri" w:hAnsi="Times New Roman" w:cs="Times New Roman"/>
          <w:bCs/>
          <w:kern w:val="0"/>
          <w:sz w:val="19"/>
          <w:szCs w:val="19"/>
          <w14:ligatures w14:val="none"/>
        </w:rPr>
        <w:t>il presente atto con separata e unanime votazione, effettuata nei modi e termini di legge, immediatamente esecutivo.</w:t>
      </w:r>
    </w:p>
    <w:p w14:paraId="1E28E811" w14:textId="77777777" w:rsidR="004D7965" w:rsidRPr="00ED736F" w:rsidRDefault="004D7965" w:rsidP="004D7965">
      <w:pPr>
        <w:spacing w:after="0" w:line="240" w:lineRule="auto"/>
        <w:jc w:val="both"/>
        <w:rPr>
          <w:rFonts w:ascii="Times New Roman" w:eastAsia="Calibri" w:hAnsi="Times New Roman" w:cs="Times New Roman"/>
          <w:bCs/>
          <w:kern w:val="0"/>
          <w:sz w:val="19"/>
          <w:szCs w:val="19"/>
          <w14:ligatures w14:val="none"/>
        </w:rPr>
      </w:pPr>
    </w:p>
    <w:bookmarkEnd w:id="0"/>
    <w:p w14:paraId="021109E7" w14:textId="77777777" w:rsidR="00BB4B53" w:rsidRPr="00ED736F" w:rsidRDefault="00BB4B53" w:rsidP="00821672">
      <w:pPr>
        <w:spacing w:after="0" w:line="240" w:lineRule="auto"/>
        <w:jc w:val="both"/>
        <w:rPr>
          <w:rFonts w:ascii="Times New Roman" w:eastAsia="Calibri" w:hAnsi="Times New Roman" w:cs="Times New Roman"/>
          <w:bCs/>
          <w:kern w:val="0"/>
          <w:sz w:val="19"/>
          <w:szCs w:val="19"/>
          <w14:ligatures w14:val="none"/>
        </w:rPr>
      </w:pPr>
    </w:p>
    <w:p w14:paraId="322AA729" w14:textId="77777777" w:rsidR="00ED2BB2" w:rsidRDefault="00ED2BB2" w:rsidP="00ED2BB2">
      <w:pPr>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Alla luce di tutto quanto premesso e considerato, le Parti come innanzi qualificate stabiliscono quanto segue:</w:t>
      </w:r>
    </w:p>
    <w:p w14:paraId="295BA3AB" w14:textId="77777777" w:rsidR="00ED2BB2" w:rsidRDefault="00ED2BB2" w:rsidP="00ED2BB2">
      <w:pPr>
        <w:spacing w:after="0" w:line="240" w:lineRule="auto"/>
        <w:rPr>
          <w:rFonts w:ascii="Times New Roman" w:hAnsi="Times New Roman" w:cs="Times New Roman"/>
          <w:b/>
          <w:bCs/>
          <w:sz w:val="18"/>
          <w:szCs w:val="18"/>
        </w:rPr>
      </w:pPr>
    </w:p>
    <w:p w14:paraId="3BA28D72" w14:textId="77777777" w:rsidR="00ED2BB2" w:rsidRDefault="00ED2BB2" w:rsidP="00ED2BB2">
      <w:pPr>
        <w:spacing w:after="0" w:line="240" w:lineRule="auto"/>
        <w:rPr>
          <w:rFonts w:ascii="Times New Roman" w:hAnsi="Times New Roman" w:cs="Times New Roman"/>
          <w:b/>
          <w:bCs/>
          <w:sz w:val="18"/>
          <w:szCs w:val="18"/>
        </w:rPr>
      </w:pPr>
      <w:r>
        <w:rPr>
          <w:rFonts w:ascii="Times New Roman" w:hAnsi="Times New Roman" w:cs="Times New Roman"/>
          <w:b/>
          <w:bCs/>
          <w:sz w:val="18"/>
          <w:szCs w:val="18"/>
        </w:rPr>
        <w:t>Art.1 – Finalità del presente accordo</w:t>
      </w:r>
    </w:p>
    <w:p w14:paraId="66191C56" w14:textId="26DA522D" w:rsidR="00ED2BB2" w:rsidRDefault="00ED2BB2" w:rsidP="00ED2BB2">
      <w:pPr>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Le Parti convengono di procedere alla sottoscrizione del presente accordo, ai sensi dell’art. 15 della legge 7 agosto 1990 n. 241, per lo svolgimento delle attività della </w:t>
      </w:r>
      <w:bookmarkStart w:id="1" w:name="_Hlk165018911"/>
      <w:r>
        <w:rPr>
          <w:rFonts w:ascii="Times New Roman" w:hAnsi="Times New Roman" w:cs="Times New Roman"/>
          <w:sz w:val="18"/>
          <w:szCs w:val="18"/>
        </w:rPr>
        <w:t>Stazione Appaltante Qualificata Comunità M</w:t>
      </w:r>
      <w:r>
        <w:rPr>
          <w:rFonts w:ascii="Times New Roman" w:eastAsia="NSimSun" w:hAnsi="Times New Roman" w:cs="Times New Roman"/>
          <w:sz w:val="18"/>
          <w:szCs w:val="18"/>
          <w:lang w:eastAsia="zh-CN" w:bidi="hi-IN"/>
        </w:rPr>
        <w:t xml:space="preserve">ontana Tanagro Alto e Medio Sele </w:t>
      </w:r>
      <w:bookmarkEnd w:id="1"/>
      <w:r>
        <w:rPr>
          <w:rFonts w:ascii="Times New Roman" w:hAnsi="Times New Roman" w:cs="Times New Roman"/>
          <w:sz w:val="18"/>
          <w:szCs w:val="18"/>
        </w:rPr>
        <w:t xml:space="preserve">in favore e per conto del </w:t>
      </w:r>
      <w:bookmarkStart w:id="2" w:name="_Hlk166239690"/>
      <w:r>
        <w:rPr>
          <w:rFonts w:ascii="Times New Roman" w:hAnsi="Times New Roman" w:cs="Times New Roman"/>
          <w:sz w:val="18"/>
          <w:szCs w:val="18"/>
        </w:rPr>
        <w:t>c</w:t>
      </w:r>
      <w:r>
        <w:rPr>
          <w:rFonts w:ascii="Times New Roman" w:eastAsia="NSimSun" w:hAnsi="Times New Roman" w:cs="Times New Roman"/>
          <w:sz w:val="18"/>
          <w:szCs w:val="18"/>
          <w:lang w:eastAsia="zh-CN" w:bidi="hi-IN"/>
        </w:rPr>
        <w:t xml:space="preserve">omune di  </w:t>
      </w:r>
      <w:bookmarkEnd w:id="2"/>
      <w:r>
        <w:rPr>
          <w:rFonts w:ascii="Times New Roman" w:eastAsia="NSimSun" w:hAnsi="Times New Roman" w:cs="Times New Roman"/>
          <w:sz w:val="18"/>
          <w:szCs w:val="18"/>
          <w:lang w:eastAsia="zh-CN" w:bidi="hi-IN"/>
        </w:rPr>
        <w:t>_______________,</w:t>
      </w:r>
      <w:r>
        <w:rPr>
          <w:rFonts w:ascii="Times New Roman" w:hAnsi="Times New Roman" w:cs="Times New Roman"/>
          <w:sz w:val="18"/>
          <w:szCs w:val="18"/>
        </w:rPr>
        <w:t xml:space="preserve"> ai sensi degli artt. 62 e 63 del d.lgs. 31 marzo 2023, n. 36.</w:t>
      </w:r>
    </w:p>
    <w:p w14:paraId="6C610BD8" w14:textId="77777777" w:rsidR="00ED2BB2" w:rsidRDefault="00ED2BB2" w:rsidP="00ED2BB2">
      <w:pPr>
        <w:spacing w:after="0" w:line="240" w:lineRule="auto"/>
        <w:jc w:val="both"/>
        <w:rPr>
          <w:rFonts w:ascii="Times New Roman" w:hAnsi="Times New Roman" w:cs="Times New Roman"/>
          <w:sz w:val="18"/>
          <w:szCs w:val="18"/>
        </w:rPr>
      </w:pPr>
    </w:p>
    <w:p w14:paraId="6210604B" w14:textId="433E63CB" w:rsidR="00ED2BB2" w:rsidRDefault="00ED2BB2" w:rsidP="00ED2BB2">
      <w:pPr>
        <w:spacing w:after="0" w:line="240" w:lineRule="auto"/>
        <w:jc w:val="both"/>
        <w:rPr>
          <w:rFonts w:ascii="Times New Roman" w:hAnsi="Times New Roman" w:cs="Times New Roman"/>
          <w:sz w:val="18"/>
          <w:szCs w:val="18"/>
        </w:rPr>
      </w:pPr>
      <w:r>
        <w:rPr>
          <w:rFonts w:ascii="Times New Roman" w:hAnsi="Times New Roman" w:cs="Times New Roman"/>
          <w:sz w:val="18"/>
          <w:szCs w:val="18"/>
        </w:rPr>
        <w:t>L’accordo ha per oggetto l’attività di committenza ausiliaria che la Stazione Appaltante Qualificata Comunità M</w:t>
      </w:r>
      <w:r>
        <w:rPr>
          <w:rFonts w:ascii="Times New Roman" w:eastAsia="NSimSun" w:hAnsi="Times New Roman" w:cs="Times New Roman"/>
          <w:sz w:val="18"/>
          <w:szCs w:val="18"/>
          <w:lang w:eastAsia="zh-CN" w:bidi="hi-IN"/>
        </w:rPr>
        <w:t>ontana Tanagro Alto e Medio Sele</w:t>
      </w:r>
      <w:r>
        <w:rPr>
          <w:rFonts w:ascii="Times New Roman" w:hAnsi="Times New Roman" w:cs="Times New Roman"/>
          <w:sz w:val="18"/>
          <w:szCs w:val="18"/>
        </w:rPr>
        <w:t xml:space="preserve"> eserciterà a favore della Stazione Appaltante non qualificata c</w:t>
      </w:r>
      <w:r>
        <w:rPr>
          <w:rFonts w:ascii="Times New Roman" w:eastAsia="NSimSun" w:hAnsi="Times New Roman" w:cs="Times New Roman"/>
          <w:sz w:val="18"/>
          <w:szCs w:val="18"/>
          <w:lang w:eastAsia="zh-CN" w:bidi="hi-IN"/>
        </w:rPr>
        <w:t xml:space="preserve">omune di  </w:t>
      </w:r>
      <w:r>
        <w:rPr>
          <w:rFonts w:ascii="Times New Roman" w:hAnsi="Times New Roman" w:cs="Times New Roman"/>
          <w:sz w:val="18"/>
          <w:szCs w:val="18"/>
        </w:rPr>
        <w:t xml:space="preserve">_______________ . Di fatto concerne </w:t>
      </w:r>
      <w:bookmarkStart w:id="3" w:name="_Hlk166485490"/>
      <w:r>
        <w:rPr>
          <w:rFonts w:ascii="Times New Roman" w:hAnsi="Times New Roman" w:cs="Times New Roman"/>
          <w:sz w:val="18"/>
          <w:szCs w:val="18"/>
        </w:rPr>
        <w:t xml:space="preserve">le procedure di affidamento di forniture e servizi di importo superiore alle soglie previste per gli affidamenti diretti nonché quelle di affidamento di lavori d’importo superiore a 500 mila euro.  </w:t>
      </w:r>
      <w:bookmarkEnd w:id="3"/>
    </w:p>
    <w:p w14:paraId="294AFCC8"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L’attività di committenza ausiliaria consiste nella prestazione di supporto alle attività di committenza, quelle del presente accordo nello specifico sono: </w:t>
      </w:r>
    </w:p>
    <w:p w14:paraId="3CD04ED6" w14:textId="77777777" w:rsidR="00ED2BB2" w:rsidRDefault="00ED2BB2" w:rsidP="00ED2BB2">
      <w:pPr>
        <w:pStyle w:val="Paragrafoelenco"/>
        <w:numPr>
          <w:ilvl w:val="0"/>
          <w:numId w:val="36"/>
        </w:numPr>
        <w:suppressAutoHyphens/>
        <w:spacing w:after="0" w:line="240" w:lineRule="auto"/>
        <w:ind w:left="0"/>
        <w:jc w:val="both"/>
        <w:rPr>
          <w:rFonts w:ascii="Times New Roman" w:eastAsia="NSimSun" w:hAnsi="Times New Roman" w:cs="Times New Roman"/>
          <w:sz w:val="18"/>
          <w:szCs w:val="18"/>
          <w:lang w:eastAsia="zh-CN" w:bidi="hi-IN"/>
        </w:rPr>
      </w:pPr>
      <w:bookmarkStart w:id="4" w:name="_Hlk166148391"/>
      <w:r>
        <w:rPr>
          <w:rFonts w:ascii="Times New Roman" w:eastAsia="NSimSun" w:hAnsi="Times New Roman" w:cs="Times New Roman"/>
          <w:sz w:val="18"/>
          <w:szCs w:val="18"/>
          <w:lang w:eastAsia="zh-CN" w:bidi="hi-IN"/>
        </w:rPr>
        <w:t xml:space="preserve">la consulenza sullo svolgimento o sulla progettazione delle procedure di appalto; </w:t>
      </w:r>
    </w:p>
    <w:p w14:paraId="1E6D3AD7" w14:textId="77777777" w:rsidR="00ED2BB2" w:rsidRDefault="00ED2BB2" w:rsidP="00ED2BB2">
      <w:pPr>
        <w:pStyle w:val="Paragrafoelenco"/>
        <w:numPr>
          <w:ilvl w:val="0"/>
          <w:numId w:val="36"/>
        </w:numPr>
        <w:suppressAutoHyphens/>
        <w:spacing w:after="0" w:line="240" w:lineRule="auto"/>
        <w:ind w:left="0"/>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la preparazione delle procedure di appalto in nome e per conto della stazione appaltante interessata;</w:t>
      </w:r>
    </w:p>
    <w:p w14:paraId="5F770E70" w14:textId="77777777" w:rsidR="00ED2BB2" w:rsidRDefault="00ED2BB2" w:rsidP="00ED2BB2">
      <w:pPr>
        <w:pStyle w:val="Paragrafoelenco"/>
        <w:numPr>
          <w:ilvl w:val="0"/>
          <w:numId w:val="36"/>
        </w:numPr>
        <w:suppressAutoHyphens/>
        <w:spacing w:after="0" w:line="240" w:lineRule="auto"/>
        <w:ind w:left="0"/>
        <w:jc w:val="both"/>
        <w:rPr>
          <w:rFonts w:ascii="Times New Roman" w:eastAsia="NSimSun" w:hAnsi="Times New Roman" w:cs="Times New Roman"/>
          <w:sz w:val="18"/>
          <w:szCs w:val="18"/>
          <w:lang w:eastAsia="zh-CN" w:bidi="hi-IN"/>
        </w:rPr>
      </w:pPr>
      <w:r>
        <w:rPr>
          <w:rFonts w:ascii="Times New Roman" w:hAnsi="Times New Roman" w:cs="Times New Roman"/>
          <w:sz w:val="18"/>
          <w:szCs w:val="18"/>
        </w:rPr>
        <w:t>la gestione delle procedure di appalto in nome e per conto della stazione appaltante interessata.</w:t>
      </w:r>
    </w:p>
    <w:bookmarkEnd w:id="4"/>
    <w:p w14:paraId="7571D1B3" w14:textId="77777777" w:rsidR="00ED2BB2" w:rsidRDefault="00ED2BB2" w:rsidP="00ED2BB2">
      <w:pPr>
        <w:spacing w:after="0" w:line="240" w:lineRule="auto"/>
        <w:jc w:val="both"/>
        <w:rPr>
          <w:rFonts w:ascii="Times New Roman" w:hAnsi="Times New Roman" w:cs="Times New Roman"/>
          <w:sz w:val="18"/>
          <w:szCs w:val="18"/>
        </w:rPr>
      </w:pPr>
      <w:r>
        <w:rPr>
          <w:rFonts w:ascii="Times New Roman" w:hAnsi="Times New Roman" w:cs="Times New Roman"/>
          <w:sz w:val="18"/>
          <w:szCs w:val="18"/>
        </w:rPr>
        <w:t>Qualora gli importi delle soglie, di cui al primo comma dell’art. 62 del d.lgs. 31 marzo 2023 n. 36, dovessero mutare, a seguito di modifiche normative, gli stessi s’intendono automaticamente riportati nel presente accordo, senza necessità di una modifica formale.</w:t>
      </w:r>
    </w:p>
    <w:p w14:paraId="2A86B943" w14:textId="77777777" w:rsidR="00ED2BB2" w:rsidRDefault="00ED2BB2" w:rsidP="00ED2BB2">
      <w:pPr>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La sottoscrizione del presente accordo non costituisce delega di funzioni ma attribuisce alla </w:t>
      </w:r>
      <w:r>
        <w:rPr>
          <w:rFonts w:ascii="Times New Roman" w:eastAsia="NSimSun" w:hAnsi="Times New Roman" w:cs="Times New Roman"/>
          <w:sz w:val="18"/>
          <w:szCs w:val="18"/>
          <w:lang w:eastAsia="zh-CN" w:bidi="hi-IN"/>
        </w:rPr>
        <w:t xml:space="preserve">Stazione Appaltante Qualificata esclusivamente </w:t>
      </w:r>
      <w:r>
        <w:rPr>
          <w:rFonts w:ascii="Times New Roman" w:hAnsi="Times New Roman" w:cs="Times New Roman"/>
          <w:sz w:val="18"/>
          <w:szCs w:val="18"/>
        </w:rPr>
        <w:t>il compito di svolgere le attività sopra riportate.</w:t>
      </w:r>
    </w:p>
    <w:p w14:paraId="0D7E1549" w14:textId="77777777" w:rsidR="00ED2BB2" w:rsidRDefault="00ED2BB2" w:rsidP="00ED2BB2">
      <w:pPr>
        <w:spacing w:after="0" w:line="240" w:lineRule="auto"/>
        <w:rPr>
          <w:rFonts w:ascii="Times New Roman" w:hAnsi="Times New Roman" w:cs="Times New Roman"/>
          <w:b/>
          <w:bCs/>
          <w:sz w:val="18"/>
          <w:szCs w:val="18"/>
        </w:rPr>
      </w:pPr>
    </w:p>
    <w:p w14:paraId="3903521C" w14:textId="77777777" w:rsidR="00ED2BB2" w:rsidRDefault="00ED2BB2" w:rsidP="00ED2BB2">
      <w:pPr>
        <w:spacing w:after="0" w:line="240" w:lineRule="auto"/>
        <w:rPr>
          <w:rFonts w:ascii="Times New Roman" w:hAnsi="Times New Roman" w:cs="Times New Roman"/>
          <w:b/>
          <w:bCs/>
          <w:sz w:val="18"/>
          <w:szCs w:val="18"/>
        </w:rPr>
      </w:pPr>
      <w:r>
        <w:rPr>
          <w:rFonts w:ascii="Times New Roman" w:hAnsi="Times New Roman" w:cs="Times New Roman"/>
          <w:b/>
          <w:bCs/>
          <w:sz w:val="18"/>
          <w:szCs w:val="18"/>
        </w:rPr>
        <w:t>Art.2 – Durata del presente accordo</w:t>
      </w:r>
    </w:p>
    <w:p w14:paraId="4F71C5AD" w14:textId="77777777" w:rsidR="00ED2BB2" w:rsidRDefault="00ED2BB2" w:rsidP="00ED2BB2">
      <w:pPr>
        <w:spacing w:after="0" w:line="240" w:lineRule="auto"/>
        <w:jc w:val="both"/>
        <w:rPr>
          <w:rFonts w:ascii="Times New Roman" w:hAnsi="Times New Roman" w:cs="Times New Roman"/>
          <w:sz w:val="18"/>
          <w:szCs w:val="18"/>
        </w:rPr>
      </w:pPr>
      <w:r>
        <w:rPr>
          <w:rFonts w:ascii="Times New Roman" w:hAnsi="Times New Roman" w:cs="Times New Roman"/>
          <w:sz w:val="18"/>
          <w:szCs w:val="18"/>
        </w:rPr>
        <w:t>Il presente accordo decorre dal ______________ 2024 e resterà in vigore finché la C</w:t>
      </w:r>
      <w:r>
        <w:rPr>
          <w:rFonts w:ascii="Times New Roman" w:eastAsia="NSimSun" w:hAnsi="Times New Roman" w:cs="Times New Roman"/>
          <w:sz w:val="18"/>
          <w:szCs w:val="18"/>
          <w:lang w:eastAsia="zh-CN" w:bidi="hi-IN"/>
        </w:rPr>
        <w:t xml:space="preserve">omunità Montana Tanagro  Alto e Medio Sele conserverà la qualificazione, ai sensi degli artt. 62 e 63 del d.lgs. n. 36/2023, </w:t>
      </w:r>
      <w:r>
        <w:rPr>
          <w:rFonts w:ascii="Times New Roman" w:hAnsi="Times New Roman" w:cs="Times New Roman"/>
          <w:sz w:val="18"/>
          <w:szCs w:val="18"/>
        </w:rPr>
        <w:t>con possibilità di variazioni temporali dovute a sopraggiunte variazioni normative.</w:t>
      </w:r>
    </w:p>
    <w:p w14:paraId="5AB95EF4" w14:textId="77777777" w:rsidR="00ED2BB2" w:rsidRDefault="00ED2BB2" w:rsidP="00ED2BB2">
      <w:pPr>
        <w:spacing w:after="0" w:line="240" w:lineRule="auto"/>
        <w:jc w:val="both"/>
        <w:rPr>
          <w:rFonts w:ascii="Times New Roman" w:hAnsi="Times New Roman" w:cs="Times New Roman"/>
          <w:sz w:val="18"/>
          <w:szCs w:val="18"/>
        </w:rPr>
      </w:pPr>
      <w:r>
        <w:rPr>
          <w:rFonts w:ascii="Times New Roman" w:hAnsi="Times New Roman" w:cs="Times New Roman"/>
          <w:sz w:val="18"/>
          <w:szCs w:val="18"/>
        </w:rPr>
        <w:t>È fatta salva la possibilità di ciascuna delle Parti di recedere, in ogni momento dal presente Accordo, previa comunicazione scritta, da inoltrare all’indirizzo dell’altra parte via P.E.C., con preavviso non inferiore a trenta (30) giorni. Resta inteso l’obbligo di portare a termine le attività già avviate e concordate nell'ambito del presente Accordo.</w:t>
      </w:r>
    </w:p>
    <w:p w14:paraId="147CA011" w14:textId="77777777" w:rsidR="00ED2BB2" w:rsidRDefault="00ED2BB2" w:rsidP="00ED2BB2">
      <w:pPr>
        <w:spacing w:after="0" w:line="240" w:lineRule="auto"/>
        <w:jc w:val="both"/>
        <w:rPr>
          <w:rFonts w:ascii="Times New Roman" w:hAnsi="Times New Roman" w:cs="Times New Roman"/>
          <w:b/>
          <w:bCs/>
          <w:sz w:val="18"/>
          <w:szCs w:val="18"/>
        </w:rPr>
      </w:pPr>
    </w:p>
    <w:p w14:paraId="0C157576" w14:textId="77777777" w:rsidR="00ED2BB2" w:rsidRDefault="00ED2BB2" w:rsidP="00ED2BB2">
      <w:pPr>
        <w:spacing w:after="0" w:line="240" w:lineRule="auto"/>
        <w:jc w:val="both"/>
        <w:rPr>
          <w:rFonts w:ascii="Times New Roman" w:hAnsi="Times New Roman" w:cs="Times New Roman"/>
          <w:sz w:val="18"/>
          <w:szCs w:val="18"/>
        </w:rPr>
      </w:pPr>
      <w:r>
        <w:rPr>
          <w:rFonts w:ascii="Times New Roman" w:hAnsi="Times New Roman" w:cs="Times New Roman"/>
          <w:b/>
          <w:bCs/>
          <w:sz w:val="18"/>
          <w:szCs w:val="18"/>
        </w:rPr>
        <w:t>Art.3 – Impegni compiti e responsabilità delle parti</w:t>
      </w:r>
    </w:p>
    <w:p w14:paraId="2E47D5B5" w14:textId="285B342B"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Fermo restando i reciproci rapporti di collaborazione, coordinamento ed informazione, </w:t>
      </w:r>
      <w:bookmarkStart w:id="5" w:name="_Hlk166148087"/>
      <w:r>
        <w:rPr>
          <w:rFonts w:ascii="Times New Roman" w:eastAsia="NSimSun" w:hAnsi="Times New Roman" w:cs="Times New Roman"/>
          <w:sz w:val="18"/>
          <w:szCs w:val="18"/>
          <w:lang w:eastAsia="zh-CN" w:bidi="hi-IN"/>
        </w:rPr>
        <w:t>sono di competenza della Stazione appaltante non qualificata</w:t>
      </w:r>
      <w:bookmarkEnd w:id="5"/>
      <w:r>
        <w:rPr>
          <w:rFonts w:ascii="Times New Roman" w:eastAsia="NSimSun" w:hAnsi="Times New Roman" w:cs="Times New Roman"/>
          <w:sz w:val="18"/>
          <w:szCs w:val="18"/>
          <w:lang w:eastAsia="zh-CN" w:bidi="hi-IN"/>
        </w:rPr>
        <w:t xml:space="preserve"> </w:t>
      </w:r>
      <w:r>
        <w:rPr>
          <w:rFonts w:ascii="Times New Roman" w:hAnsi="Times New Roman" w:cs="Times New Roman"/>
          <w:sz w:val="18"/>
          <w:szCs w:val="18"/>
        </w:rPr>
        <w:t>c</w:t>
      </w:r>
      <w:r>
        <w:rPr>
          <w:rFonts w:ascii="Times New Roman" w:eastAsia="NSimSun" w:hAnsi="Times New Roman" w:cs="Times New Roman"/>
          <w:sz w:val="18"/>
          <w:szCs w:val="18"/>
          <w:lang w:eastAsia="zh-CN" w:bidi="hi-IN"/>
        </w:rPr>
        <w:t xml:space="preserve">omune di  __________________, tra l’altro ed in particolare:  </w:t>
      </w:r>
    </w:p>
    <w:p w14:paraId="14DE502E"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a)</w:t>
      </w:r>
      <w:r>
        <w:rPr>
          <w:rFonts w:ascii="Times New Roman" w:eastAsia="NSimSun" w:hAnsi="Times New Roman" w:cs="Times New Roman"/>
          <w:sz w:val="18"/>
          <w:szCs w:val="18"/>
          <w:lang w:eastAsia="zh-CN" w:bidi="hi-IN"/>
        </w:rPr>
        <w:tab/>
        <w:t xml:space="preserve">la definizione delle opere da realizzare e della relativa tempistica, sulla base degli atti di programmazione finanziaria dell'Ente stesso nonché, nel caso di enti locali, l’inserimento dell’opera da realizzare nel piano delle opere pubbliche; </w:t>
      </w:r>
    </w:p>
    <w:p w14:paraId="2FB6BCDE"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b)</w:t>
      </w:r>
      <w:r>
        <w:rPr>
          <w:rFonts w:ascii="Times New Roman" w:eastAsia="NSimSun" w:hAnsi="Times New Roman" w:cs="Times New Roman"/>
          <w:sz w:val="18"/>
          <w:szCs w:val="18"/>
          <w:lang w:eastAsia="zh-CN" w:bidi="hi-IN"/>
        </w:rPr>
        <w:tab/>
        <w:t>l'individuazione delle fonti di finanziamento;</w:t>
      </w:r>
    </w:p>
    <w:p w14:paraId="1078676B" w14:textId="2DA53A5D"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c)</w:t>
      </w:r>
      <w:r>
        <w:rPr>
          <w:rFonts w:ascii="Times New Roman" w:eastAsia="NSimSun" w:hAnsi="Times New Roman" w:cs="Times New Roman"/>
          <w:sz w:val="18"/>
          <w:szCs w:val="18"/>
          <w:lang w:eastAsia="zh-CN" w:bidi="hi-IN"/>
        </w:rPr>
        <w:tab/>
        <w:t xml:space="preserve">la definizione dell'oggetto contrattuale (lavori e/o servizi di architettura e ingegneria). La Stazione appaltante non qualificata </w:t>
      </w:r>
      <w:r>
        <w:rPr>
          <w:rFonts w:ascii="Times New Roman" w:hAnsi="Times New Roman" w:cs="Times New Roman"/>
          <w:sz w:val="18"/>
          <w:szCs w:val="18"/>
        </w:rPr>
        <w:t>c</w:t>
      </w:r>
      <w:r>
        <w:rPr>
          <w:rFonts w:ascii="Times New Roman" w:eastAsia="NSimSun" w:hAnsi="Times New Roman" w:cs="Times New Roman"/>
          <w:sz w:val="18"/>
          <w:szCs w:val="18"/>
          <w:lang w:eastAsia="zh-CN" w:bidi="hi-IN"/>
        </w:rPr>
        <w:t>omune di ________________, previa individuazione delle opere da realizzare, approva il progetto, i piani di sicurezza, la validazione, ecc. fino alla fase esecutiva o quella necessaria alla procedura di gara a norma delle disposizioni vigenti;</w:t>
      </w:r>
    </w:p>
    <w:p w14:paraId="76243462"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d)</w:t>
      </w:r>
      <w:r>
        <w:rPr>
          <w:rFonts w:ascii="Times New Roman" w:eastAsia="NSimSun" w:hAnsi="Times New Roman" w:cs="Times New Roman"/>
          <w:sz w:val="18"/>
          <w:szCs w:val="18"/>
          <w:lang w:eastAsia="zh-CN" w:bidi="hi-IN"/>
        </w:rPr>
        <w:tab/>
        <w:t>la decisione di contrarre con la quale sono individuati gli elementi essenziali del contratto e i criteri di selezione degli operatori economici e delle offerte; con riferimento alle procedure negoziate previste dall’art 50 comma 1 lett.c), d) ed e) del d. lgs. n.36/2023, la suddetta decisione a contrarre dovrà contenere i criteri di scelta degli operatori da invitare, secondo quanto previsto dal comma 4 dell’art.3 dell’allegato II.1 al d. lgs.n.36/2023;</w:t>
      </w:r>
    </w:p>
    <w:p w14:paraId="65FA7C80"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e)</w:t>
      </w:r>
      <w:r>
        <w:rPr>
          <w:rFonts w:ascii="Times New Roman" w:eastAsia="NSimSun" w:hAnsi="Times New Roman" w:cs="Times New Roman"/>
          <w:sz w:val="18"/>
          <w:szCs w:val="18"/>
          <w:lang w:eastAsia="zh-CN" w:bidi="hi-IN"/>
        </w:rPr>
        <w:tab/>
        <w:t xml:space="preserve">la compilazione dello schema del bando, del disciplinare di gara e del disciplinare d’incarico (quest’ultimo per i soli servizi di architettura e ingegneria) predisposti dalla Stazione Appaltante Qualificata Comunità Montana Tanagro Alto e Medio Sele e la relativa sottoscrizione;  </w:t>
      </w:r>
    </w:p>
    <w:p w14:paraId="55871FBA"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f)</w:t>
      </w:r>
      <w:r>
        <w:rPr>
          <w:rFonts w:ascii="Times New Roman" w:eastAsia="NSimSun" w:hAnsi="Times New Roman" w:cs="Times New Roman"/>
          <w:sz w:val="18"/>
          <w:szCs w:val="18"/>
          <w:lang w:eastAsia="zh-CN" w:bidi="hi-IN"/>
        </w:rPr>
        <w:tab/>
        <w:t>con riferimento alle procedure negoziate, l’approvazione dello schema di lettera d’invito predisposta dalla Stazione Appaltante Qualificata Comunità Montana Tanagro Alto e Medio Sele;</w:t>
      </w:r>
    </w:p>
    <w:p w14:paraId="3BD90B9F"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g)</w:t>
      </w:r>
      <w:r>
        <w:rPr>
          <w:rFonts w:ascii="Times New Roman" w:eastAsia="NSimSun" w:hAnsi="Times New Roman" w:cs="Times New Roman"/>
          <w:sz w:val="18"/>
          <w:szCs w:val="18"/>
          <w:lang w:eastAsia="zh-CN" w:bidi="hi-IN"/>
        </w:rPr>
        <w:tab/>
        <w:t xml:space="preserve">la nomina del RUP incaricato ai sensi dell'art.15 del d. lgs. n.36/2023; </w:t>
      </w:r>
    </w:p>
    <w:p w14:paraId="109F9F91"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h)</w:t>
      </w:r>
      <w:r>
        <w:rPr>
          <w:rFonts w:ascii="Times New Roman" w:eastAsia="NSimSun" w:hAnsi="Times New Roman" w:cs="Times New Roman"/>
          <w:sz w:val="18"/>
          <w:szCs w:val="18"/>
          <w:lang w:eastAsia="zh-CN" w:bidi="hi-IN"/>
        </w:rPr>
        <w:tab/>
        <w:t>l’acquisizione del CUP, se previsto;</w:t>
      </w:r>
    </w:p>
    <w:p w14:paraId="56B9381E"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i)</w:t>
      </w:r>
      <w:r>
        <w:rPr>
          <w:rFonts w:ascii="Times New Roman" w:eastAsia="NSimSun" w:hAnsi="Times New Roman" w:cs="Times New Roman"/>
          <w:sz w:val="18"/>
          <w:szCs w:val="18"/>
          <w:lang w:eastAsia="zh-CN" w:bidi="hi-IN"/>
        </w:rPr>
        <w:tab/>
        <w:t xml:space="preserve">la previsione, nel quadro tecnico economico dell’intervento, delle risorse finanziarie di cui al comma 8 dell’art.45 del d. lgs. n.36/2023, eventualmente delle risorse finanziarie previste dall’art.15 comma 6, nel caso in cui il RUP intenda nominare supporti esterni alla stazione appaltante non qualificata, e delle risorse finanziarie per il ristoro – mero rimborso forfettario delle spese che la Stazione Appaltante Qualificata Comunità Montana Tanagro Alto e Medio Sele sosterrà nel breve, medio e lungo periodo per le attività di cui al presente accordo;   </w:t>
      </w:r>
    </w:p>
    <w:p w14:paraId="1AAACAD1"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j)</w:t>
      </w:r>
      <w:r>
        <w:rPr>
          <w:rFonts w:ascii="Times New Roman" w:eastAsia="NSimSun" w:hAnsi="Times New Roman" w:cs="Times New Roman"/>
          <w:sz w:val="18"/>
          <w:szCs w:val="18"/>
          <w:lang w:eastAsia="zh-CN" w:bidi="hi-IN"/>
        </w:rPr>
        <w:tab/>
        <w:t>la previsione, nel quadro tecnico economico dell’intervento, della spesa per le attività della commissione giudicatrice;</w:t>
      </w:r>
    </w:p>
    <w:p w14:paraId="25336754" w14:textId="3E23831B"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k)</w:t>
      </w:r>
      <w:r>
        <w:rPr>
          <w:rFonts w:ascii="Times New Roman" w:eastAsia="NSimSun" w:hAnsi="Times New Roman" w:cs="Times New Roman"/>
          <w:sz w:val="18"/>
          <w:szCs w:val="18"/>
          <w:lang w:eastAsia="zh-CN" w:bidi="hi-IN"/>
        </w:rPr>
        <w:tab/>
        <w:t xml:space="preserve">l’adempimento di tutti gli obblighi di legge inerenti alle pubblicazioni degli affidamenti e in particolare dei bandi e allegati, degli avvisi di gara e dei relativi esiti di gara previsti per legge sia nell'albo sia nella sezione "Amministrazione Trasparente" del sito della Stazione appaltante non qualificata </w:t>
      </w:r>
      <w:r>
        <w:rPr>
          <w:rFonts w:ascii="Times New Roman" w:hAnsi="Times New Roman" w:cs="Times New Roman"/>
          <w:sz w:val="18"/>
          <w:szCs w:val="18"/>
        </w:rPr>
        <w:t>c</w:t>
      </w:r>
      <w:r>
        <w:rPr>
          <w:rFonts w:ascii="Times New Roman" w:eastAsia="NSimSun" w:hAnsi="Times New Roman" w:cs="Times New Roman"/>
          <w:sz w:val="18"/>
          <w:szCs w:val="18"/>
          <w:lang w:eastAsia="zh-CN" w:bidi="hi-IN"/>
        </w:rPr>
        <w:t xml:space="preserve">omune di __________________, in applicazione di quanto normativamente previsto;  </w:t>
      </w:r>
    </w:p>
    <w:p w14:paraId="400FCC38"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l)</w:t>
      </w:r>
      <w:r>
        <w:rPr>
          <w:rFonts w:ascii="Times New Roman" w:eastAsia="NSimSun" w:hAnsi="Times New Roman" w:cs="Times New Roman"/>
          <w:sz w:val="18"/>
          <w:szCs w:val="18"/>
          <w:lang w:eastAsia="zh-CN" w:bidi="hi-IN"/>
        </w:rPr>
        <w:tab/>
        <w:t xml:space="preserve">l’adozione del provvedimento di ratifica dell’intera procedura di affidamento; </w:t>
      </w:r>
    </w:p>
    <w:p w14:paraId="391A5DDB"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m)</w:t>
      </w:r>
      <w:r>
        <w:rPr>
          <w:rFonts w:ascii="Times New Roman" w:eastAsia="NSimSun" w:hAnsi="Times New Roman" w:cs="Times New Roman"/>
          <w:sz w:val="18"/>
          <w:szCs w:val="18"/>
          <w:lang w:eastAsia="zh-CN" w:bidi="hi-IN"/>
        </w:rPr>
        <w:tab/>
        <w:t xml:space="preserve">la stipula del contratto con l’operatore economico aggiudicatario, secondo quanto previsto dall’art.18 del d. lgs. n.36/2023, la relativa esecuzione con annessi pagamenti dei corrispettivi spettanti allo stesso operatore; </w:t>
      </w:r>
      <w:bookmarkStart w:id="6" w:name="_Hlk166147410"/>
    </w:p>
    <w:bookmarkEnd w:id="6"/>
    <w:p w14:paraId="438F6869"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n) l’inserimento negli atti contrattuali delle clausole imposte anche da eventuali protocolli d'intesa per la prevenzione dei tentativi di infiltrazione della criminalità organizzata nel settore degli appalti di lavori pubblici che la stessa stazione appaltante non qualificata si impegna a rispettare; </w:t>
      </w:r>
    </w:p>
    <w:p w14:paraId="6FA5536B" w14:textId="77777777" w:rsidR="00ED2BB2" w:rsidRDefault="00ED2BB2" w:rsidP="00ED2BB2">
      <w:pPr>
        <w:pStyle w:val="Default"/>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o) l</w:t>
      </w:r>
      <w:r>
        <w:rPr>
          <w:rFonts w:ascii="Times New Roman" w:eastAsia="NSimSun" w:hAnsi="Times New Roman" w:cs="Times New Roman"/>
          <w:color w:val="auto"/>
          <w:sz w:val="18"/>
          <w:szCs w:val="18"/>
          <w:lang w:eastAsia="zh-CN" w:bidi="hi-IN"/>
        </w:rPr>
        <w:t xml:space="preserve">a messa a disposizione di tutta la documentazione necessaria a base dell’affidamento, nonché </w:t>
      </w:r>
      <w:r>
        <w:rPr>
          <w:rFonts w:ascii="Times New Roman" w:hAnsi="Times New Roman" w:cs="Times New Roman"/>
          <w:color w:val="auto"/>
          <w:kern w:val="22"/>
          <w:sz w:val="18"/>
          <w:szCs w:val="18"/>
        </w:rPr>
        <w:t xml:space="preserve">tutte le indicazioni in merito agli elementi essenziali; </w:t>
      </w:r>
    </w:p>
    <w:p w14:paraId="347E1074"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p) ogni altro compito previsto dalle norme e dalle circolari vigenti.</w:t>
      </w:r>
    </w:p>
    <w:p w14:paraId="634A1139"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p>
    <w:p w14:paraId="2B83A4CE"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Sono di competenza della Stazione Appaltante Qualificata Comunità Tanagro Alto e Medio Sele le attività di supporto e collaborazione nei confronti della Stazione appaltante non qualificata, nello specifico: </w:t>
      </w:r>
    </w:p>
    <w:p w14:paraId="7456384B" w14:textId="77777777" w:rsidR="00ED2BB2" w:rsidRDefault="00ED2BB2" w:rsidP="00ED2BB2">
      <w:pPr>
        <w:pStyle w:val="Paragrafoelenco"/>
        <w:numPr>
          <w:ilvl w:val="0"/>
          <w:numId w:val="37"/>
        </w:num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la preparazione delle procedure di appalto in nome e per conto della stazione appaltante interessata;</w:t>
      </w:r>
    </w:p>
    <w:p w14:paraId="2ABA7DB3" w14:textId="77777777" w:rsidR="00ED2BB2" w:rsidRDefault="00ED2BB2" w:rsidP="00ED2BB2">
      <w:pPr>
        <w:pStyle w:val="Paragrafoelenco"/>
        <w:numPr>
          <w:ilvl w:val="0"/>
          <w:numId w:val="37"/>
        </w:num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la gestione delle procedure di appalto in nome e per conto della stazione appaltante interessata;</w:t>
      </w:r>
    </w:p>
    <w:p w14:paraId="4F74F798" w14:textId="77777777" w:rsidR="00ED2BB2" w:rsidRDefault="00ED2BB2" w:rsidP="00ED2BB2">
      <w:pPr>
        <w:pStyle w:val="Paragrafoelenco"/>
        <w:numPr>
          <w:ilvl w:val="0"/>
          <w:numId w:val="37"/>
        </w:num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la nomina del responsabile del procedimento per la fase di gara al quale competono, oltre all’acquisizione del CIG, tutte le attività della procedura fino alla formulazione della proposta di aggiudicazione da parte dell’Organo preposto alla valutazione delle offerte; </w:t>
      </w:r>
    </w:p>
    <w:p w14:paraId="554B6B91" w14:textId="77777777" w:rsidR="00ED2BB2" w:rsidRDefault="00ED2BB2" w:rsidP="00ED2BB2">
      <w:pPr>
        <w:pStyle w:val="Paragrafoelenco"/>
        <w:numPr>
          <w:ilvl w:val="0"/>
          <w:numId w:val="37"/>
        </w:num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ogni altro adempimento necessario per la conclusione della procedura affidata.  </w:t>
      </w:r>
    </w:p>
    <w:p w14:paraId="496A825A"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Le attività sopra indicate sono effettuate secondo criteri oggettivi, coerenti con l’oggetto e la finalità dell’affidamento e con i principi di concorrenza, non discriminazione, proporzionalità e trasparenza, in conformità ai criteri di selezione indicati nella decisione a contrarre adottata dalla stazione appaltante non qualificata e al principio di rotazione ai sensi dell’art.49 del d. lgs. n.36/2023.</w:t>
      </w:r>
    </w:p>
    <w:p w14:paraId="16178705"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Le parti danno atto che sono stati bene definiti e divisi i propri impegni e compiti, in modo tale che la Stazione Appaltante Qualificata non svolga tutte le fasi di affidamento.</w:t>
      </w:r>
    </w:p>
    <w:p w14:paraId="1FA399DE"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Si dà atto, altresì, che tra le parti è stata effettuata una reale condivisione di compiti e responsabilità.      </w:t>
      </w:r>
    </w:p>
    <w:p w14:paraId="6252A553" w14:textId="77777777" w:rsidR="00ED2BB2" w:rsidRDefault="00ED2BB2" w:rsidP="00ED2BB2">
      <w:pPr>
        <w:suppressAutoHyphens/>
        <w:spacing w:after="0" w:line="240" w:lineRule="auto"/>
        <w:jc w:val="both"/>
        <w:rPr>
          <w:rFonts w:ascii="Times New Roman" w:eastAsia="NSimSun" w:hAnsi="Times New Roman" w:cs="Times New Roman"/>
          <w:sz w:val="18"/>
          <w:szCs w:val="18"/>
          <w:highlight w:val="yellow"/>
          <w:lang w:eastAsia="zh-CN" w:bidi="hi-IN"/>
        </w:rPr>
      </w:pPr>
      <w:r>
        <w:rPr>
          <w:rFonts w:ascii="Times New Roman" w:eastAsia="NSimSun" w:hAnsi="Times New Roman" w:cs="Times New Roman"/>
          <w:sz w:val="18"/>
          <w:szCs w:val="18"/>
          <w:lang w:eastAsia="zh-CN" w:bidi="hi-IN"/>
        </w:rPr>
        <w:t xml:space="preserve">Sono escluse dal presente accordo la fase a monte delle procedure di gara e quella a valle del provvedimento di aggiudicazione. </w:t>
      </w:r>
    </w:p>
    <w:p w14:paraId="179D4C87" w14:textId="77777777" w:rsidR="00ED2BB2" w:rsidRDefault="00ED2BB2" w:rsidP="00ED2BB2">
      <w:pPr>
        <w:suppressAutoHyphens/>
        <w:spacing w:after="0" w:line="240" w:lineRule="auto"/>
        <w:jc w:val="both"/>
        <w:rPr>
          <w:rFonts w:ascii="Times New Roman" w:eastAsia="NSimSun" w:hAnsi="Times New Roman" w:cs="Times New Roman"/>
          <w:sz w:val="18"/>
          <w:szCs w:val="18"/>
          <w:highlight w:val="yellow"/>
          <w:lang w:eastAsia="zh-CN" w:bidi="hi-IN"/>
        </w:rPr>
      </w:pPr>
    </w:p>
    <w:p w14:paraId="088D95B0" w14:textId="77777777" w:rsidR="00ED2BB2" w:rsidRDefault="00ED2BB2" w:rsidP="00ED2BB2">
      <w:pPr>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b/>
          <w:bCs/>
          <w:sz w:val="18"/>
          <w:szCs w:val="18"/>
          <w:lang w:eastAsia="zh-CN" w:bidi="hi-IN"/>
        </w:rPr>
        <w:t xml:space="preserve">Art. 4 - Rapporti finanziari </w:t>
      </w:r>
    </w:p>
    <w:p w14:paraId="3AB42EB8" w14:textId="383711B3"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Visto e considerato che non è possibile determinate con certosina precisione i costi che la Stazione Appaltante Qualificata sosterrà per le attività di cui agli artt. 1 e 3 del presente accordo, valutando anche che alcuni costi potrebbero sostanziarsi a distanza di anni (spese legali, giudiziarie, tributarie, ecc.), si concorda un rimborso forfettario delle spese sostenute dalla Stazione Appaltante Qualificata, posto a carico del </w:t>
      </w:r>
      <w:r>
        <w:rPr>
          <w:rFonts w:ascii="Times New Roman" w:hAnsi="Times New Roman" w:cs="Times New Roman"/>
          <w:sz w:val="18"/>
          <w:szCs w:val="18"/>
        </w:rPr>
        <w:t>c</w:t>
      </w:r>
      <w:r>
        <w:rPr>
          <w:rFonts w:ascii="Times New Roman" w:eastAsia="NSimSun" w:hAnsi="Times New Roman" w:cs="Times New Roman"/>
          <w:sz w:val="18"/>
          <w:szCs w:val="18"/>
          <w:lang w:eastAsia="zh-CN" w:bidi="hi-IN"/>
        </w:rPr>
        <w:t xml:space="preserve">omune di _______________, quale quota variabile in funzione dell’importo a base di gara, da prevedere obbligatoriamente nei quadri economici di ogni singolo “progetto”. </w:t>
      </w:r>
    </w:p>
    <w:p w14:paraId="2D712203"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Per le procedure di appalto e concessioni tale l’importo si determina come qui di seguito: </w:t>
      </w:r>
    </w:p>
    <w:p w14:paraId="68328668" w14:textId="77777777" w:rsidR="00ED2BB2" w:rsidRDefault="00ED2BB2" w:rsidP="00ED2BB2">
      <w:pPr>
        <w:pStyle w:val="Paragrafoelenco"/>
        <w:numPr>
          <w:ilvl w:val="0"/>
          <w:numId w:val="38"/>
        </w:numPr>
        <w:suppressAutoHyphens/>
        <w:spacing w:after="0" w:line="240" w:lineRule="auto"/>
        <w:ind w:left="0"/>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fino a 2 milione si applica l’1 % sull’importo a base di gara (oltre la spesa sostenuta per l’IVA dalla S.A.Q.);  </w:t>
      </w:r>
    </w:p>
    <w:p w14:paraId="755B4242" w14:textId="77777777" w:rsidR="00ED2BB2" w:rsidRDefault="00ED2BB2" w:rsidP="00ED2BB2">
      <w:pPr>
        <w:pStyle w:val="Paragrafoelenco"/>
        <w:numPr>
          <w:ilvl w:val="0"/>
          <w:numId w:val="38"/>
        </w:numPr>
        <w:suppressAutoHyphens/>
        <w:spacing w:after="0" w:line="240" w:lineRule="auto"/>
        <w:ind w:left="0"/>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da 2 milioni a 5 milioni si applica l’1% fino a 2 milioni e sulla differenza lo 0,5 %, prendendo a base l’importo di gara (oltre la spesa sostenuta per l’IVA dalla S.A.Q.);  </w:t>
      </w:r>
    </w:p>
    <w:p w14:paraId="4909CF31" w14:textId="77777777" w:rsidR="00ED2BB2" w:rsidRDefault="00ED2BB2" w:rsidP="00ED2BB2">
      <w:pPr>
        <w:pStyle w:val="Paragrafoelenco"/>
        <w:numPr>
          <w:ilvl w:val="0"/>
          <w:numId w:val="38"/>
        </w:numPr>
        <w:suppressAutoHyphens/>
        <w:spacing w:after="0" w:line="240" w:lineRule="auto"/>
        <w:ind w:left="0"/>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per importi a base di gara superiori ai 5 milioni si applica l’1% fino a 2 milioni, dai 2 ai 5 milioni lo 0,5% e sulla parte eccedente lo 0,3%, con un massimo di 50 mila euro (oltre la spesa sostenuta per l’IVA dalla S.A.Q.).</w:t>
      </w:r>
    </w:p>
    <w:p w14:paraId="185E7653"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Per le procedure per servizi socio-assistenziali l’importo si determina: </w:t>
      </w:r>
    </w:p>
    <w:p w14:paraId="7AEE1ABA" w14:textId="77777777" w:rsidR="00ED2BB2" w:rsidRDefault="00ED2BB2" w:rsidP="00ED2BB2">
      <w:pPr>
        <w:pStyle w:val="Paragrafoelenco"/>
        <w:numPr>
          <w:ilvl w:val="0"/>
          <w:numId w:val="39"/>
        </w:numPr>
        <w:suppressAutoHyphens/>
        <w:spacing w:after="0" w:line="240" w:lineRule="auto"/>
        <w:ind w:left="0"/>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per concessioni aventi finalità di tipo sociale e assistenziale 0,60% su canone annuale per l’intera durata del contratto, con un minimo di due mila euro (oltre la spesa sostenuta per l’IVA dalla S.A.Q.); </w:t>
      </w:r>
    </w:p>
    <w:p w14:paraId="1B8443D7" w14:textId="77777777" w:rsidR="00ED2BB2" w:rsidRDefault="00ED2BB2" w:rsidP="00ED2BB2">
      <w:pPr>
        <w:pStyle w:val="Paragrafoelenco"/>
        <w:numPr>
          <w:ilvl w:val="0"/>
          <w:numId w:val="39"/>
        </w:numPr>
        <w:suppressAutoHyphens/>
        <w:spacing w:after="0" w:line="240" w:lineRule="auto"/>
        <w:ind w:left="0"/>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per servizi di tipo socio- assistenziale lo 0,60% sull’ importo a base di gara (non applicabile sul ribasso d’asta), in ogni caso non inferiore ai mille euro (oltre la spesa sostenuta per l’IVA dalla S.A.Q.);  </w:t>
      </w:r>
    </w:p>
    <w:p w14:paraId="3C2B42BB" w14:textId="77777777" w:rsidR="00ED2BB2" w:rsidRDefault="00ED2BB2" w:rsidP="00ED2BB2">
      <w:pPr>
        <w:pStyle w:val="Paragrafoelenco"/>
        <w:numPr>
          <w:ilvl w:val="0"/>
          <w:numId w:val="38"/>
        </w:numPr>
        <w:suppressAutoHyphens/>
        <w:spacing w:after="0" w:line="240" w:lineRule="auto"/>
        <w:ind w:left="0"/>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per i servizi di somministrazione di lavoro a tempo determinato la quota è calcolata sul valore della prestazione remunerata al concorrente, corrispondente al valore dell’aggio offerto sull’importo a base di gara, in ogni caso non inferiore ai mille euro (oltre la spesa sostenuta per l’IVA dalla S.A.Q.).</w:t>
      </w:r>
    </w:p>
    <w:p w14:paraId="62ABDF8A" w14:textId="77777777" w:rsidR="00ED2BB2" w:rsidRDefault="00ED2BB2" w:rsidP="00ED2BB2">
      <w:pPr>
        <w:pStyle w:val="Paragrafoelenco"/>
        <w:suppressAutoHyphens/>
        <w:spacing w:after="0" w:line="240" w:lineRule="auto"/>
        <w:ind w:left="0"/>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La Stazione Appaltante Comunità Montana Tanagro Alto Medio Sele potrà applicare riduzioni ai corrispettivi suesposti attraverso specifici accordi. </w:t>
      </w:r>
    </w:p>
    <w:p w14:paraId="76ABA8A4"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Per le concessioni che non prevedono la realizzazione di infrastrutture pubbliche la somma da rimborsare verrà determinata di volta in volta in relazione alla durata della concessione per iscritto quale addendum al presente accordo.</w:t>
      </w:r>
    </w:p>
    <w:p w14:paraId="327190EB" w14:textId="429A34FA"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Salva diversa modalità previamente comunicata, il suddetto rimborso delle spese sostenute dovrà essere corrisposto dal </w:t>
      </w:r>
      <w:r>
        <w:rPr>
          <w:rFonts w:ascii="Times New Roman" w:hAnsi="Times New Roman" w:cs="Times New Roman"/>
          <w:sz w:val="18"/>
          <w:szCs w:val="18"/>
        </w:rPr>
        <w:t>c</w:t>
      </w:r>
      <w:r>
        <w:rPr>
          <w:rFonts w:ascii="Times New Roman" w:eastAsia="NSimSun" w:hAnsi="Times New Roman" w:cs="Times New Roman"/>
          <w:sz w:val="18"/>
          <w:szCs w:val="18"/>
          <w:lang w:eastAsia="zh-CN" w:bidi="hi-IN"/>
        </w:rPr>
        <w:t xml:space="preserve">omune di ____________________ alla </w:t>
      </w:r>
      <w:r>
        <w:rPr>
          <w:rFonts w:ascii="Times New Roman" w:hAnsi="Times New Roman" w:cs="Times New Roman"/>
          <w:sz w:val="18"/>
          <w:szCs w:val="18"/>
        </w:rPr>
        <w:t>Stazione Appaltante Qualificata Comunità M</w:t>
      </w:r>
      <w:r>
        <w:rPr>
          <w:rFonts w:ascii="Times New Roman" w:eastAsia="NSimSun" w:hAnsi="Times New Roman" w:cs="Times New Roman"/>
          <w:sz w:val="18"/>
          <w:szCs w:val="18"/>
          <w:lang w:eastAsia="zh-CN" w:bidi="hi-IN"/>
        </w:rPr>
        <w:t>ontana Tanagro Alto e Medio Sele, a mezzo bonifico bancario con accredito sul c/c di Tesoreria __________________________ entro e non oltre 30 giorni dalla richiesta.</w:t>
      </w:r>
    </w:p>
    <w:p w14:paraId="49D14C3B"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La determinazione delle somme come sopra riportato costituiscono un rimborso forfettario - ristoro delle spese che la Stazione Appaltante Qualificata </w:t>
      </w:r>
      <w:r>
        <w:rPr>
          <w:rFonts w:ascii="Times New Roman" w:hAnsi="Times New Roman" w:cs="Times New Roman"/>
          <w:sz w:val="18"/>
          <w:szCs w:val="18"/>
        </w:rPr>
        <w:t>Comunità M</w:t>
      </w:r>
      <w:r>
        <w:rPr>
          <w:rFonts w:ascii="Times New Roman" w:eastAsia="NSimSun" w:hAnsi="Times New Roman" w:cs="Times New Roman"/>
          <w:sz w:val="18"/>
          <w:szCs w:val="18"/>
          <w:lang w:eastAsia="zh-CN" w:bidi="hi-IN"/>
        </w:rPr>
        <w:t xml:space="preserve">ontana Tanagro Alto e Medio Sele sosterrà prima, durante e dopo l’espletamento delle attività ausiliarie, come le spese per la formazione del personale, l’informatizzazione e la digitalizzazione delle procedure, l’impiego di professionalità altamente specializzate, le spese per utenze, riviste, cancelleria, spese generali (ammortamenti, manutenzioni immobili, bancarie, postali, canoni software, tributi comunali, stampati), ecc. Per la loro determinazione le parti hanno valutato anche il ristoro delle spese future che potrebbero interessare il bilancio economico finanziario della Stazione Appaltante Qualificata per eventuali spese legali, giudiziarie, tributarie, interessi, ecc. </w:t>
      </w:r>
    </w:p>
    <w:p w14:paraId="7D664A7F"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Tale rimborso è riconosciuto a titolo di copertura dei costi sostenuti dalla Stazione Appaltante Qualificata Comunità Montana Tanagro alto e Medio Sele, non configura corrispettivo né comporta margini di guadagno, ma solo il giusto contributo alle spese effettivamente sostenute.       </w:t>
      </w:r>
    </w:p>
    <w:p w14:paraId="5844ECE3" w14:textId="1CFFCA12"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Tuttavia, ove richiesto dalla Stazione Appaltante </w:t>
      </w:r>
      <w:r>
        <w:rPr>
          <w:rFonts w:ascii="Times New Roman" w:hAnsi="Times New Roman" w:cs="Times New Roman"/>
          <w:sz w:val="18"/>
          <w:szCs w:val="18"/>
        </w:rPr>
        <w:t>c</w:t>
      </w:r>
      <w:r>
        <w:rPr>
          <w:rFonts w:ascii="Times New Roman" w:eastAsia="NSimSun" w:hAnsi="Times New Roman" w:cs="Times New Roman"/>
          <w:sz w:val="18"/>
          <w:szCs w:val="18"/>
          <w:lang w:eastAsia="zh-CN" w:bidi="hi-IN"/>
        </w:rPr>
        <w:t xml:space="preserve">omune di __________________, la somma rimborsata alla Stazione Appaltante Qualificata </w:t>
      </w:r>
      <w:r>
        <w:rPr>
          <w:rFonts w:ascii="Times New Roman" w:hAnsi="Times New Roman" w:cs="Times New Roman"/>
          <w:sz w:val="18"/>
          <w:szCs w:val="18"/>
        </w:rPr>
        <w:t>Comunità M</w:t>
      </w:r>
      <w:r>
        <w:rPr>
          <w:rFonts w:ascii="Times New Roman" w:eastAsia="NSimSun" w:hAnsi="Times New Roman" w:cs="Times New Roman"/>
          <w:sz w:val="18"/>
          <w:szCs w:val="18"/>
          <w:lang w:eastAsia="zh-CN" w:bidi="hi-IN"/>
        </w:rPr>
        <w:t xml:space="preserve">ontana Tanagro Alto e Medio Sele, per le attività di committenza ausiliaria, potrà essere rendicontata.       </w:t>
      </w:r>
    </w:p>
    <w:p w14:paraId="674098F4" w14:textId="6D01FFDA"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Sono a carico del </w:t>
      </w:r>
      <w:r>
        <w:rPr>
          <w:rFonts w:ascii="Times New Roman" w:hAnsi="Times New Roman" w:cs="Times New Roman"/>
          <w:sz w:val="18"/>
          <w:szCs w:val="18"/>
        </w:rPr>
        <w:t>c</w:t>
      </w:r>
      <w:r>
        <w:rPr>
          <w:rFonts w:ascii="Times New Roman" w:eastAsia="NSimSun" w:hAnsi="Times New Roman" w:cs="Times New Roman"/>
          <w:sz w:val="18"/>
          <w:szCs w:val="18"/>
          <w:lang w:eastAsia="zh-CN" w:bidi="hi-IN"/>
        </w:rPr>
        <w:t>omune di ______________________ le spese per pubblicità-pubblicazioni e contributi di legge (contributo Anac).</w:t>
      </w:r>
    </w:p>
    <w:p w14:paraId="3438B656"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Rientrano nella disciplina del presente accordo anche l’espletamento delle procedure di gara di lavori, forniture e servizi finanziati con fondi del PNRR.</w:t>
      </w:r>
    </w:p>
    <w:p w14:paraId="7EB7D815"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p>
    <w:p w14:paraId="6DE98B79" w14:textId="77777777" w:rsidR="00ED2BB2" w:rsidRDefault="00ED2BB2" w:rsidP="00ED2BB2">
      <w:pPr>
        <w:pStyle w:val="Default"/>
        <w:jc w:val="both"/>
        <w:rPr>
          <w:rFonts w:ascii="Times New Roman" w:hAnsi="Times New Roman" w:cs="Times New Roman"/>
          <w:b/>
          <w:bCs/>
          <w:color w:val="auto"/>
          <w:sz w:val="18"/>
          <w:szCs w:val="18"/>
        </w:rPr>
      </w:pPr>
      <w:r>
        <w:rPr>
          <w:rFonts w:ascii="Times New Roman" w:hAnsi="Times New Roman" w:cs="Times New Roman"/>
          <w:b/>
          <w:bCs/>
          <w:color w:val="auto"/>
          <w:sz w:val="18"/>
          <w:szCs w:val="18"/>
        </w:rPr>
        <w:t>Art. 5 – Modalità operative</w:t>
      </w:r>
    </w:p>
    <w:p w14:paraId="339885E3" w14:textId="7659F5AE" w:rsidR="00ED2BB2" w:rsidRDefault="00ED2BB2" w:rsidP="00ED2BB2">
      <w:pPr>
        <w:pStyle w:val="Default"/>
        <w:jc w:val="both"/>
        <w:rPr>
          <w:rFonts w:ascii="Times New Roman" w:eastAsia="NSimSun" w:hAnsi="Times New Roman" w:cs="Times New Roman"/>
          <w:color w:val="auto"/>
          <w:sz w:val="18"/>
          <w:szCs w:val="18"/>
          <w:lang w:eastAsia="zh-CN" w:bidi="hi-IN"/>
        </w:rPr>
      </w:pPr>
      <w:r>
        <w:rPr>
          <w:rFonts w:ascii="Times New Roman" w:hAnsi="Times New Roman" w:cs="Times New Roman"/>
          <w:color w:val="auto"/>
          <w:sz w:val="18"/>
          <w:szCs w:val="18"/>
        </w:rPr>
        <w:t xml:space="preserve">Ai fini dello svolgimento delle attività di cui al presente Accordo, il </w:t>
      </w:r>
      <w:r>
        <w:rPr>
          <w:rFonts w:ascii="Times New Roman" w:hAnsi="Times New Roman" w:cs="Times New Roman"/>
          <w:sz w:val="18"/>
          <w:szCs w:val="18"/>
        </w:rPr>
        <w:t>c</w:t>
      </w:r>
      <w:r>
        <w:rPr>
          <w:rFonts w:ascii="Times New Roman" w:eastAsia="NSimSun" w:hAnsi="Times New Roman" w:cs="Times New Roman"/>
          <w:sz w:val="18"/>
          <w:szCs w:val="18"/>
          <w:lang w:eastAsia="zh-CN" w:bidi="hi-IN"/>
        </w:rPr>
        <w:t xml:space="preserve">omune di ___________________, </w:t>
      </w:r>
      <w:r>
        <w:rPr>
          <w:rFonts w:ascii="Times New Roman" w:hAnsi="Times New Roman" w:cs="Times New Roman"/>
          <w:color w:val="auto"/>
          <w:sz w:val="18"/>
          <w:szCs w:val="18"/>
        </w:rPr>
        <w:t>per ogni singola procedura da affidare alla Stazione Appaltante Qualificata Comunità M</w:t>
      </w:r>
      <w:r>
        <w:rPr>
          <w:rFonts w:ascii="Times New Roman" w:eastAsia="NSimSun" w:hAnsi="Times New Roman" w:cs="Times New Roman"/>
          <w:color w:val="auto"/>
          <w:sz w:val="18"/>
          <w:szCs w:val="18"/>
          <w:lang w:eastAsia="zh-CN" w:bidi="hi-IN"/>
        </w:rPr>
        <w:t>ontana Tanagro Alto e Medio Sele, deve inviare la Domanda tramite posta elettronica certificata o mediante l’utilizzo di applicativo informatico eventualmente reso disponibile dalla Stazione Appaltante Comunità Montana Tanagro Alto e Medio Sele o tramite la procedura prevista dal comma 10 dell’art.62 del d. lgs n.36/2023.</w:t>
      </w:r>
    </w:p>
    <w:p w14:paraId="7D5522B6" w14:textId="77777777" w:rsidR="00ED2BB2" w:rsidRDefault="00ED2BB2" w:rsidP="00ED2BB2">
      <w:pPr>
        <w:pStyle w:val="Default"/>
        <w:jc w:val="both"/>
        <w:rPr>
          <w:rFonts w:ascii="Times New Roman" w:eastAsia="NSimSun" w:hAnsi="Times New Roman" w:cs="Times New Roman"/>
          <w:color w:val="auto"/>
          <w:sz w:val="18"/>
          <w:szCs w:val="18"/>
          <w:lang w:eastAsia="zh-CN" w:bidi="hi-IN"/>
        </w:rPr>
      </w:pPr>
      <w:r>
        <w:rPr>
          <w:rFonts w:ascii="Times New Roman" w:eastAsia="NSimSun" w:hAnsi="Times New Roman" w:cs="Times New Roman"/>
          <w:color w:val="auto"/>
          <w:sz w:val="18"/>
          <w:szCs w:val="18"/>
          <w:lang w:eastAsia="zh-CN" w:bidi="hi-IN"/>
        </w:rPr>
        <w:t>Ricevuta la domanda, la Stazione Appaltante Qualificata Comunità Montana Tanagro Alto e Medio Sele si attiverà con la Stazione Appaltante richiedente.</w:t>
      </w:r>
    </w:p>
    <w:p w14:paraId="4621AABC" w14:textId="77777777" w:rsidR="00ED2BB2" w:rsidRDefault="00ED2BB2" w:rsidP="00ED2BB2">
      <w:pPr>
        <w:pStyle w:val="Default"/>
        <w:rPr>
          <w:rFonts w:ascii="Times New Roman" w:hAnsi="Times New Roman" w:cs="Times New Roman"/>
          <w:b/>
          <w:bCs/>
          <w:color w:val="auto"/>
          <w:sz w:val="18"/>
          <w:szCs w:val="18"/>
        </w:rPr>
      </w:pPr>
    </w:p>
    <w:p w14:paraId="149FC9A3" w14:textId="77777777" w:rsidR="00ED2BB2" w:rsidRDefault="00ED2BB2" w:rsidP="00ED2BB2">
      <w:pPr>
        <w:pStyle w:val="Default"/>
        <w:jc w:val="both"/>
        <w:rPr>
          <w:rFonts w:ascii="Times New Roman" w:hAnsi="Times New Roman" w:cs="Times New Roman"/>
          <w:b/>
          <w:bCs/>
          <w:color w:val="auto"/>
          <w:sz w:val="18"/>
          <w:szCs w:val="18"/>
        </w:rPr>
      </w:pPr>
      <w:r>
        <w:rPr>
          <w:rFonts w:ascii="Times New Roman" w:hAnsi="Times New Roman" w:cs="Times New Roman"/>
          <w:b/>
          <w:bCs/>
          <w:color w:val="auto"/>
          <w:sz w:val="18"/>
          <w:szCs w:val="18"/>
        </w:rPr>
        <w:t xml:space="preserve">Art. 6 – Commissione Giudicatrice </w:t>
      </w:r>
    </w:p>
    <w:p w14:paraId="510735CD" w14:textId="012A125E" w:rsidR="00ED2BB2" w:rsidRDefault="00ED2BB2" w:rsidP="00ED2BB2">
      <w:pPr>
        <w:pStyle w:val="Default"/>
        <w:jc w:val="both"/>
        <w:rPr>
          <w:rFonts w:ascii="Times New Roman" w:hAnsi="Times New Roman" w:cs="Times New Roman"/>
          <w:color w:val="auto"/>
          <w:sz w:val="18"/>
          <w:szCs w:val="18"/>
        </w:rPr>
      </w:pPr>
      <w:r>
        <w:rPr>
          <w:rFonts w:ascii="Times New Roman" w:hAnsi="Times New Roman" w:cs="Times New Roman"/>
          <w:color w:val="auto"/>
          <w:sz w:val="18"/>
          <w:szCs w:val="18"/>
        </w:rPr>
        <w:t>Le parti stabiliscono che la Commissione giudicatrice dev’essere presieduta e composta da dipendenti del</w:t>
      </w:r>
      <w:r>
        <w:rPr>
          <w:rFonts w:ascii="Times New Roman" w:eastAsia="NSimSun" w:hAnsi="Times New Roman" w:cs="Times New Roman"/>
          <w:sz w:val="18"/>
          <w:szCs w:val="18"/>
          <w:lang w:eastAsia="zh-CN" w:bidi="hi-IN"/>
        </w:rPr>
        <w:t xml:space="preserve"> </w:t>
      </w:r>
      <w:r>
        <w:rPr>
          <w:rFonts w:ascii="Times New Roman" w:hAnsi="Times New Roman" w:cs="Times New Roman"/>
          <w:sz w:val="18"/>
          <w:szCs w:val="18"/>
        </w:rPr>
        <w:t>c</w:t>
      </w:r>
      <w:r>
        <w:rPr>
          <w:rFonts w:ascii="Times New Roman" w:eastAsia="NSimSun" w:hAnsi="Times New Roman" w:cs="Times New Roman"/>
          <w:sz w:val="18"/>
          <w:szCs w:val="18"/>
          <w:lang w:eastAsia="zh-CN" w:bidi="hi-IN"/>
        </w:rPr>
        <w:t xml:space="preserve">omune di </w:t>
      </w:r>
      <w:r>
        <w:rPr>
          <w:rFonts w:ascii="Times New Roman" w:hAnsi="Times New Roman" w:cs="Times New Roman"/>
          <w:color w:val="auto"/>
          <w:sz w:val="18"/>
          <w:szCs w:val="18"/>
        </w:rPr>
        <w:t xml:space="preserve">______________, in possesso del necessario inquadramento giuridico e di adeguate competenze professionali. Ove il </w:t>
      </w:r>
      <w:r>
        <w:rPr>
          <w:rFonts w:ascii="Times New Roman" w:hAnsi="Times New Roman" w:cs="Times New Roman"/>
          <w:sz w:val="18"/>
          <w:szCs w:val="18"/>
        </w:rPr>
        <w:t>c</w:t>
      </w:r>
      <w:r>
        <w:rPr>
          <w:rFonts w:ascii="Times New Roman" w:eastAsia="NSimSun" w:hAnsi="Times New Roman" w:cs="Times New Roman"/>
          <w:sz w:val="18"/>
          <w:szCs w:val="18"/>
          <w:lang w:eastAsia="zh-CN" w:bidi="hi-IN"/>
        </w:rPr>
        <w:t>omune di __________</w:t>
      </w:r>
      <w:r>
        <w:rPr>
          <w:rFonts w:ascii="Times New Roman" w:hAnsi="Times New Roman" w:cs="Times New Roman"/>
          <w:color w:val="auto"/>
          <w:sz w:val="18"/>
          <w:szCs w:val="18"/>
        </w:rPr>
        <w:t>non avesse in organico adeguate professionalità può chiedere che uno o più commissari siano nominati dalla Stazione Appaltante Qualificata Comunità M</w:t>
      </w:r>
      <w:r>
        <w:rPr>
          <w:rFonts w:ascii="Times New Roman" w:eastAsia="NSimSun" w:hAnsi="Times New Roman" w:cs="Times New Roman"/>
          <w:color w:val="auto"/>
          <w:sz w:val="18"/>
          <w:szCs w:val="18"/>
          <w:lang w:eastAsia="zh-CN" w:bidi="hi-IN"/>
        </w:rPr>
        <w:t>ontana Tanagro Alto e Medio Sele</w:t>
      </w:r>
      <w:r>
        <w:rPr>
          <w:rFonts w:ascii="Times New Roman" w:hAnsi="Times New Roman" w:cs="Times New Roman"/>
          <w:color w:val="auto"/>
          <w:sz w:val="18"/>
          <w:szCs w:val="18"/>
        </w:rPr>
        <w:t xml:space="preserve"> che lo farà individuandoli tra i propri dirigenti e funzionari, tra quelli di altre amministrazioni pubbliche o anche mediante l’utilizzo di appositi elenchi all’uopo predisposti</w:t>
      </w:r>
      <w:r>
        <w:rPr>
          <w:rFonts w:ascii="Times New Roman" w:eastAsia="NSimSun" w:hAnsi="Times New Roman" w:cs="Times New Roman"/>
          <w:color w:val="auto"/>
          <w:sz w:val="18"/>
          <w:szCs w:val="18"/>
          <w:lang w:eastAsia="zh-CN" w:bidi="hi-IN"/>
        </w:rPr>
        <w:t xml:space="preserve">.  </w:t>
      </w:r>
    </w:p>
    <w:p w14:paraId="1CA7CD2C" w14:textId="3AE0B4CF" w:rsidR="00ED2BB2" w:rsidRDefault="00ED2BB2" w:rsidP="00ED2BB2">
      <w:pPr>
        <w:pStyle w:val="Default"/>
        <w:jc w:val="both"/>
        <w:rPr>
          <w:rFonts w:ascii="Times New Roman" w:hAnsi="Times New Roman" w:cs="Times New Roman"/>
          <w:color w:val="auto"/>
          <w:sz w:val="18"/>
          <w:szCs w:val="18"/>
        </w:rPr>
      </w:pPr>
      <w:r>
        <w:rPr>
          <w:rFonts w:ascii="Times New Roman" w:hAnsi="Times New Roman" w:cs="Times New Roman"/>
          <w:color w:val="auto"/>
          <w:sz w:val="18"/>
          <w:szCs w:val="18"/>
        </w:rPr>
        <w:t xml:space="preserve">La Commissione è composta ai sensi dell’art. 51 e del comma 3 dell’art. 93 del Codice. Il costo complessivo per le attività della Commissione giudicatrice è a carico della Stazione appaltante </w:t>
      </w:r>
      <w:r>
        <w:rPr>
          <w:rFonts w:ascii="Times New Roman" w:hAnsi="Times New Roman" w:cs="Times New Roman"/>
          <w:sz w:val="18"/>
          <w:szCs w:val="18"/>
        </w:rPr>
        <w:t>c</w:t>
      </w:r>
      <w:r>
        <w:rPr>
          <w:rFonts w:ascii="Times New Roman" w:eastAsia="NSimSun" w:hAnsi="Times New Roman" w:cs="Times New Roman"/>
          <w:sz w:val="18"/>
          <w:szCs w:val="18"/>
          <w:lang w:eastAsia="zh-CN" w:bidi="hi-IN"/>
        </w:rPr>
        <w:t>omune di ________________</w:t>
      </w:r>
      <w:r>
        <w:rPr>
          <w:rFonts w:ascii="Times New Roman" w:hAnsi="Times New Roman" w:cs="Times New Roman"/>
          <w:color w:val="auto"/>
          <w:sz w:val="18"/>
          <w:szCs w:val="18"/>
        </w:rPr>
        <w:t xml:space="preserve">, previsto nel quadro economico del progetto o a carico del bilancio e va pagato entro e non oltre 30 giorni dalla richiesta. </w:t>
      </w:r>
    </w:p>
    <w:p w14:paraId="6C76C056" w14:textId="77777777" w:rsidR="00ED2BB2" w:rsidRDefault="00ED2BB2" w:rsidP="00ED2BB2">
      <w:pPr>
        <w:pStyle w:val="Default"/>
        <w:jc w:val="both"/>
        <w:rPr>
          <w:rFonts w:ascii="Times New Roman" w:hAnsi="Times New Roman" w:cs="Times New Roman"/>
          <w:color w:val="auto"/>
          <w:sz w:val="18"/>
          <w:szCs w:val="18"/>
        </w:rPr>
      </w:pPr>
      <w:r>
        <w:rPr>
          <w:rFonts w:ascii="Times New Roman" w:hAnsi="Times New Roman" w:cs="Times New Roman"/>
          <w:color w:val="auto"/>
          <w:sz w:val="18"/>
          <w:szCs w:val="18"/>
        </w:rPr>
        <w:t xml:space="preserve">Ai soli commissari dipendenti della Stazione Appaltante non spetta alcun compenso. </w:t>
      </w:r>
    </w:p>
    <w:p w14:paraId="22BD9BA7" w14:textId="77777777" w:rsidR="00ED2BB2" w:rsidRDefault="00ED2BB2" w:rsidP="00ED2BB2">
      <w:pPr>
        <w:pStyle w:val="Default"/>
        <w:jc w:val="both"/>
        <w:rPr>
          <w:rFonts w:ascii="Times New Roman" w:hAnsi="Times New Roman" w:cs="Times New Roman"/>
          <w:color w:val="auto"/>
          <w:sz w:val="18"/>
          <w:szCs w:val="18"/>
        </w:rPr>
      </w:pPr>
    </w:p>
    <w:p w14:paraId="5F092B9C" w14:textId="77777777" w:rsidR="00ED2BB2" w:rsidRDefault="00ED2BB2" w:rsidP="00ED2BB2">
      <w:pPr>
        <w:pStyle w:val="Default"/>
        <w:jc w:val="both"/>
        <w:rPr>
          <w:rFonts w:ascii="Times New Roman" w:hAnsi="Times New Roman" w:cs="Times New Roman"/>
          <w:color w:val="auto"/>
          <w:sz w:val="18"/>
          <w:szCs w:val="18"/>
        </w:rPr>
      </w:pPr>
      <w:r>
        <w:rPr>
          <w:rFonts w:ascii="Times New Roman" w:hAnsi="Times New Roman" w:cs="Times New Roman"/>
          <w:color w:val="auto"/>
          <w:sz w:val="18"/>
          <w:szCs w:val="18"/>
        </w:rPr>
        <w:t xml:space="preserve">Gli importi dei compensi dei commissari di gara sono quelli di cui alla tabella seguente: </w:t>
      </w:r>
    </w:p>
    <w:tbl>
      <w:tblPr>
        <w:tblStyle w:val="Grigliatabella"/>
        <w:tblW w:w="5000" w:type="pct"/>
        <w:tblLook w:val="04A0" w:firstRow="1" w:lastRow="0" w:firstColumn="1" w:lastColumn="0" w:noHBand="0" w:noVBand="1"/>
      </w:tblPr>
      <w:tblGrid>
        <w:gridCol w:w="1646"/>
        <w:gridCol w:w="1309"/>
        <w:gridCol w:w="1383"/>
        <w:gridCol w:w="1583"/>
        <w:gridCol w:w="1219"/>
        <w:gridCol w:w="1194"/>
        <w:gridCol w:w="1294"/>
      </w:tblGrid>
      <w:tr w:rsidR="00ED2BB2" w14:paraId="731E6EAB" w14:textId="77777777" w:rsidTr="00ED2BB2">
        <w:tc>
          <w:tcPr>
            <w:tcW w:w="855" w:type="pct"/>
            <w:vMerge w:val="restart"/>
            <w:tcBorders>
              <w:top w:val="single" w:sz="4" w:space="0" w:color="auto"/>
              <w:left w:val="single" w:sz="4" w:space="0" w:color="auto"/>
              <w:bottom w:val="single" w:sz="4" w:space="0" w:color="auto"/>
              <w:right w:val="single" w:sz="4" w:space="0" w:color="auto"/>
            </w:tcBorders>
            <w:vAlign w:val="center"/>
            <w:hideMark/>
          </w:tcPr>
          <w:p w14:paraId="7DDAE69F" w14:textId="77777777" w:rsidR="00ED2BB2" w:rsidRDefault="00ED2BB2">
            <w:pPr>
              <w:jc w:val="center"/>
              <w:rPr>
                <w:rFonts w:ascii="Times New Roman" w:hAnsi="Times New Roman" w:cs="Times New Roman"/>
                <w:sz w:val="18"/>
                <w:szCs w:val="18"/>
              </w:rPr>
            </w:pPr>
            <w:r>
              <w:rPr>
                <w:rFonts w:ascii="Times New Roman" w:hAnsi="Times New Roman" w:cs="Times New Roman"/>
                <w:sz w:val="18"/>
                <w:szCs w:val="18"/>
              </w:rPr>
              <w:t xml:space="preserve">Importo a base di gara </w:t>
            </w:r>
          </w:p>
        </w:tc>
        <w:tc>
          <w:tcPr>
            <w:tcW w:w="4145" w:type="pct"/>
            <w:gridSpan w:val="6"/>
            <w:tcBorders>
              <w:top w:val="single" w:sz="4" w:space="0" w:color="auto"/>
              <w:left w:val="single" w:sz="4" w:space="0" w:color="auto"/>
              <w:bottom w:val="single" w:sz="4" w:space="0" w:color="auto"/>
              <w:right w:val="single" w:sz="4" w:space="0" w:color="auto"/>
            </w:tcBorders>
            <w:vAlign w:val="center"/>
            <w:hideMark/>
          </w:tcPr>
          <w:p w14:paraId="51CE51A1" w14:textId="77777777" w:rsidR="00ED2BB2" w:rsidRDefault="00ED2BB2">
            <w:pPr>
              <w:jc w:val="center"/>
              <w:rPr>
                <w:rFonts w:ascii="Times New Roman" w:hAnsi="Times New Roman" w:cs="Times New Roman"/>
                <w:sz w:val="18"/>
                <w:szCs w:val="18"/>
              </w:rPr>
            </w:pPr>
            <w:r>
              <w:rPr>
                <w:rFonts w:ascii="Times New Roman" w:hAnsi="Times New Roman" w:cs="Times New Roman"/>
                <w:sz w:val="18"/>
                <w:szCs w:val="18"/>
              </w:rPr>
              <w:t xml:space="preserve">Tariffe spettanti alla commissione giudicatrice (tutti gli importi sono in euro) </w:t>
            </w:r>
          </w:p>
        </w:tc>
      </w:tr>
      <w:tr w:rsidR="00ED2BB2" w14:paraId="5DA13EC9" w14:textId="77777777" w:rsidTr="00ED2BB2">
        <w:tc>
          <w:tcPr>
            <w:tcW w:w="0" w:type="auto"/>
            <w:vMerge/>
            <w:tcBorders>
              <w:top w:val="single" w:sz="4" w:space="0" w:color="auto"/>
              <w:left w:val="single" w:sz="4" w:space="0" w:color="auto"/>
              <w:bottom w:val="single" w:sz="4" w:space="0" w:color="auto"/>
              <w:right w:val="single" w:sz="4" w:space="0" w:color="auto"/>
            </w:tcBorders>
            <w:vAlign w:val="center"/>
            <w:hideMark/>
          </w:tcPr>
          <w:p w14:paraId="71888683" w14:textId="77777777" w:rsidR="00ED2BB2" w:rsidRDefault="00ED2BB2">
            <w:pPr>
              <w:rPr>
                <w:rFonts w:ascii="Times New Roman" w:hAnsi="Times New Roman" w:cs="Times New Roman"/>
                <w:sz w:val="18"/>
                <w:szCs w:val="18"/>
              </w:rPr>
            </w:pPr>
          </w:p>
        </w:tc>
        <w:tc>
          <w:tcPr>
            <w:tcW w:w="680" w:type="pct"/>
            <w:vMerge w:val="restart"/>
            <w:tcBorders>
              <w:top w:val="single" w:sz="4" w:space="0" w:color="auto"/>
              <w:left w:val="single" w:sz="4" w:space="0" w:color="auto"/>
              <w:bottom w:val="single" w:sz="4" w:space="0" w:color="auto"/>
              <w:right w:val="single" w:sz="4" w:space="0" w:color="auto"/>
            </w:tcBorders>
            <w:vAlign w:val="center"/>
            <w:hideMark/>
          </w:tcPr>
          <w:p w14:paraId="1D9D3B1D" w14:textId="77777777" w:rsidR="00ED2BB2" w:rsidRDefault="00ED2BB2">
            <w:pPr>
              <w:jc w:val="center"/>
              <w:rPr>
                <w:rFonts w:ascii="Times New Roman" w:hAnsi="Times New Roman" w:cs="Times New Roman"/>
                <w:sz w:val="18"/>
                <w:szCs w:val="18"/>
              </w:rPr>
            </w:pPr>
            <w:r>
              <w:rPr>
                <w:rFonts w:ascii="Times New Roman" w:hAnsi="Times New Roman" w:cs="Times New Roman"/>
                <w:sz w:val="18"/>
                <w:szCs w:val="18"/>
              </w:rPr>
              <w:t xml:space="preserve">Commissario unico </w:t>
            </w:r>
          </w:p>
        </w:tc>
        <w:tc>
          <w:tcPr>
            <w:tcW w:w="2173" w:type="pct"/>
            <w:gridSpan w:val="3"/>
            <w:tcBorders>
              <w:top w:val="single" w:sz="4" w:space="0" w:color="auto"/>
              <w:left w:val="single" w:sz="4" w:space="0" w:color="auto"/>
              <w:bottom w:val="single" w:sz="4" w:space="0" w:color="auto"/>
              <w:right w:val="single" w:sz="4" w:space="0" w:color="auto"/>
            </w:tcBorders>
            <w:vAlign w:val="center"/>
            <w:hideMark/>
          </w:tcPr>
          <w:p w14:paraId="33F19430" w14:textId="77777777" w:rsidR="00ED2BB2" w:rsidRDefault="00ED2BB2">
            <w:pPr>
              <w:keepNext/>
              <w:jc w:val="center"/>
              <w:outlineLvl w:val="1"/>
              <w:rPr>
                <w:rFonts w:ascii="Times New Roman" w:hAnsi="Times New Roman" w:cs="Times New Roman"/>
                <w:sz w:val="18"/>
                <w:szCs w:val="18"/>
              </w:rPr>
            </w:pPr>
            <w:r>
              <w:rPr>
                <w:rFonts w:ascii="Times New Roman" w:hAnsi="Times New Roman" w:cs="Times New Roman"/>
                <w:sz w:val="18"/>
                <w:szCs w:val="18"/>
              </w:rPr>
              <w:t xml:space="preserve">COMMISSIONE GIUDICATRICE </w:t>
            </w:r>
          </w:p>
          <w:p w14:paraId="55CEC84F" w14:textId="77777777" w:rsidR="00ED2BB2" w:rsidRDefault="00ED2BB2">
            <w:pPr>
              <w:jc w:val="center"/>
              <w:rPr>
                <w:rFonts w:ascii="Times New Roman" w:hAnsi="Times New Roman" w:cs="Times New Roman"/>
                <w:sz w:val="18"/>
                <w:szCs w:val="18"/>
              </w:rPr>
            </w:pPr>
            <w:r>
              <w:rPr>
                <w:rFonts w:ascii="Times New Roman" w:hAnsi="Times New Roman" w:cs="Times New Roman"/>
                <w:sz w:val="18"/>
                <w:szCs w:val="18"/>
              </w:rPr>
              <w:t>Appalti aggiudicati con il criterio dell’O.E.P.V.</w:t>
            </w:r>
          </w:p>
        </w:tc>
        <w:tc>
          <w:tcPr>
            <w:tcW w:w="1292" w:type="pct"/>
            <w:gridSpan w:val="2"/>
            <w:tcBorders>
              <w:top w:val="single" w:sz="4" w:space="0" w:color="auto"/>
              <w:left w:val="single" w:sz="4" w:space="0" w:color="auto"/>
              <w:bottom w:val="single" w:sz="4" w:space="0" w:color="auto"/>
              <w:right w:val="single" w:sz="4" w:space="0" w:color="auto"/>
            </w:tcBorders>
            <w:vAlign w:val="center"/>
            <w:hideMark/>
          </w:tcPr>
          <w:p w14:paraId="78E7547D" w14:textId="77777777" w:rsidR="00ED2BB2" w:rsidRDefault="00ED2BB2">
            <w:pPr>
              <w:keepNext/>
              <w:jc w:val="center"/>
              <w:outlineLvl w:val="1"/>
              <w:rPr>
                <w:rFonts w:ascii="Times New Roman" w:hAnsi="Times New Roman" w:cs="Times New Roman"/>
                <w:sz w:val="18"/>
                <w:szCs w:val="18"/>
              </w:rPr>
            </w:pPr>
            <w:r>
              <w:rPr>
                <w:rFonts w:ascii="Times New Roman" w:hAnsi="Times New Roman" w:cs="Times New Roman"/>
                <w:sz w:val="18"/>
                <w:szCs w:val="18"/>
              </w:rPr>
              <w:t>Incrementi tariffari</w:t>
            </w:r>
          </w:p>
        </w:tc>
      </w:tr>
      <w:tr w:rsidR="00ED2BB2" w14:paraId="2AC436A5" w14:textId="77777777" w:rsidTr="00ED2BB2">
        <w:tc>
          <w:tcPr>
            <w:tcW w:w="0" w:type="auto"/>
            <w:vMerge/>
            <w:tcBorders>
              <w:top w:val="single" w:sz="4" w:space="0" w:color="auto"/>
              <w:left w:val="single" w:sz="4" w:space="0" w:color="auto"/>
              <w:bottom w:val="single" w:sz="4" w:space="0" w:color="auto"/>
              <w:right w:val="single" w:sz="4" w:space="0" w:color="auto"/>
            </w:tcBorders>
            <w:vAlign w:val="center"/>
            <w:hideMark/>
          </w:tcPr>
          <w:p w14:paraId="0DF29D22" w14:textId="77777777" w:rsidR="00ED2BB2" w:rsidRDefault="00ED2BB2">
            <w:pPr>
              <w:rPr>
                <w:rFonts w:ascii="Times New Roman" w:hAnsi="Times New Roman" w:cs="Times New Roman"/>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82DB59" w14:textId="77777777" w:rsidR="00ED2BB2" w:rsidRDefault="00ED2BB2">
            <w:pPr>
              <w:rPr>
                <w:rFonts w:ascii="Times New Roman" w:hAnsi="Times New Roman" w:cs="Times New Roman"/>
                <w:sz w:val="18"/>
                <w:szCs w:val="18"/>
              </w:rPr>
            </w:pPr>
          </w:p>
        </w:tc>
        <w:tc>
          <w:tcPr>
            <w:tcW w:w="718" w:type="pct"/>
            <w:tcBorders>
              <w:top w:val="single" w:sz="4" w:space="0" w:color="auto"/>
              <w:left w:val="single" w:sz="4" w:space="0" w:color="auto"/>
              <w:bottom w:val="single" w:sz="4" w:space="0" w:color="auto"/>
              <w:right w:val="single" w:sz="4" w:space="0" w:color="auto"/>
            </w:tcBorders>
            <w:vAlign w:val="center"/>
          </w:tcPr>
          <w:p w14:paraId="4A25AF70" w14:textId="77777777" w:rsidR="00ED2BB2" w:rsidRDefault="00ED2BB2">
            <w:pPr>
              <w:keepNext/>
              <w:jc w:val="center"/>
              <w:outlineLvl w:val="0"/>
              <w:rPr>
                <w:rFonts w:ascii="Times New Roman" w:hAnsi="Times New Roman" w:cs="Times New Roman"/>
                <w:sz w:val="18"/>
                <w:szCs w:val="18"/>
              </w:rPr>
            </w:pPr>
            <w:r>
              <w:rPr>
                <w:rFonts w:ascii="Times New Roman" w:hAnsi="Times New Roman" w:cs="Times New Roman"/>
                <w:sz w:val="18"/>
                <w:szCs w:val="18"/>
              </w:rPr>
              <w:t xml:space="preserve">Presidente </w:t>
            </w:r>
          </w:p>
          <w:p w14:paraId="22C827D1" w14:textId="77777777" w:rsidR="00ED2BB2" w:rsidRDefault="00ED2BB2">
            <w:pPr>
              <w:keepNext/>
              <w:jc w:val="center"/>
              <w:outlineLvl w:val="0"/>
              <w:rPr>
                <w:rFonts w:ascii="Times New Roman" w:hAnsi="Times New Roman" w:cs="Times New Roman"/>
                <w:sz w:val="18"/>
                <w:szCs w:val="18"/>
              </w:rPr>
            </w:pPr>
          </w:p>
        </w:tc>
        <w:tc>
          <w:tcPr>
            <w:tcW w:w="822" w:type="pct"/>
            <w:tcBorders>
              <w:top w:val="single" w:sz="4" w:space="0" w:color="auto"/>
              <w:left w:val="single" w:sz="4" w:space="0" w:color="auto"/>
              <w:bottom w:val="single" w:sz="4" w:space="0" w:color="auto"/>
              <w:right w:val="single" w:sz="4" w:space="0" w:color="auto"/>
            </w:tcBorders>
            <w:vAlign w:val="center"/>
          </w:tcPr>
          <w:p w14:paraId="73AC4561" w14:textId="77777777" w:rsidR="00ED2BB2" w:rsidRDefault="00ED2BB2">
            <w:pPr>
              <w:jc w:val="center"/>
              <w:rPr>
                <w:rFonts w:ascii="Times New Roman" w:hAnsi="Times New Roman" w:cs="Times New Roman"/>
                <w:sz w:val="18"/>
                <w:szCs w:val="18"/>
              </w:rPr>
            </w:pPr>
            <w:r>
              <w:rPr>
                <w:rFonts w:ascii="Times New Roman" w:hAnsi="Times New Roman" w:cs="Times New Roman"/>
                <w:sz w:val="18"/>
                <w:szCs w:val="18"/>
              </w:rPr>
              <w:t xml:space="preserve">Componente </w:t>
            </w:r>
          </w:p>
          <w:p w14:paraId="32EE8CE1" w14:textId="77777777" w:rsidR="00ED2BB2" w:rsidRDefault="00ED2BB2">
            <w:pPr>
              <w:jc w:val="center"/>
              <w:rPr>
                <w:rFonts w:ascii="Times New Roman" w:hAnsi="Times New Roman" w:cs="Times New Roman"/>
                <w:sz w:val="18"/>
                <w:szCs w:val="18"/>
              </w:rPr>
            </w:pPr>
          </w:p>
        </w:tc>
        <w:tc>
          <w:tcPr>
            <w:tcW w:w="633" w:type="pct"/>
            <w:tcBorders>
              <w:top w:val="single" w:sz="4" w:space="0" w:color="auto"/>
              <w:left w:val="single" w:sz="4" w:space="0" w:color="auto"/>
              <w:bottom w:val="single" w:sz="4" w:space="0" w:color="auto"/>
              <w:right w:val="single" w:sz="4" w:space="0" w:color="auto"/>
            </w:tcBorders>
            <w:vAlign w:val="center"/>
            <w:hideMark/>
          </w:tcPr>
          <w:p w14:paraId="049F6A49" w14:textId="77777777" w:rsidR="00ED2BB2" w:rsidRDefault="00ED2BB2">
            <w:pPr>
              <w:jc w:val="center"/>
              <w:rPr>
                <w:rFonts w:ascii="Times New Roman" w:hAnsi="Times New Roman" w:cs="Times New Roman"/>
                <w:sz w:val="18"/>
                <w:szCs w:val="18"/>
              </w:rPr>
            </w:pPr>
            <w:r>
              <w:rPr>
                <w:rFonts w:ascii="Times New Roman" w:hAnsi="Times New Roman" w:cs="Times New Roman"/>
                <w:sz w:val="18"/>
                <w:szCs w:val="18"/>
              </w:rPr>
              <w:t>Totale per n.3 commissari</w:t>
            </w:r>
          </w:p>
        </w:tc>
        <w:tc>
          <w:tcPr>
            <w:tcW w:w="620" w:type="pct"/>
            <w:tcBorders>
              <w:top w:val="single" w:sz="4" w:space="0" w:color="auto"/>
              <w:left w:val="single" w:sz="4" w:space="0" w:color="auto"/>
              <w:bottom w:val="single" w:sz="4" w:space="0" w:color="auto"/>
              <w:right w:val="single" w:sz="4" w:space="0" w:color="auto"/>
            </w:tcBorders>
            <w:vAlign w:val="center"/>
            <w:hideMark/>
          </w:tcPr>
          <w:p w14:paraId="72BD1E20" w14:textId="77777777" w:rsidR="00ED2BB2" w:rsidRDefault="00ED2BB2">
            <w:pPr>
              <w:jc w:val="center"/>
              <w:rPr>
                <w:rFonts w:ascii="Times New Roman" w:hAnsi="Times New Roman" w:cs="Times New Roman"/>
                <w:sz w:val="18"/>
                <w:szCs w:val="18"/>
              </w:rPr>
            </w:pPr>
            <w:r>
              <w:rPr>
                <w:rFonts w:ascii="Times New Roman" w:hAnsi="Times New Roman" w:cs="Times New Roman"/>
                <w:sz w:val="18"/>
                <w:szCs w:val="18"/>
              </w:rPr>
              <w:t>O.E. &gt; 10 partecipanti (+15%)</w:t>
            </w:r>
          </w:p>
        </w:tc>
        <w:tc>
          <w:tcPr>
            <w:tcW w:w="672" w:type="pct"/>
            <w:tcBorders>
              <w:top w:val="single" w:sz="4" w:space="0" w:color="auto"/>
              <w:left w:val="single" w:sz="4" w:space="0" w:color="auto"/>
              <w:bottom w:val="single" w:sz="4" w:space="0" w:color="auto"/>
              <w:right w:val="single" w:sz="4" w:space="0" w:color="auto"/>
            </w:tcBorders>
            <w:vAlign w:val="center"/>
            <w:hideMark/>
          </w:tcPr>
          <w:p w14:paraId="5C39A6E3" w14:textId="77777777" w:rsidR="00ED2BB2" w:rsidRDefault="00ED2BB2">
            <w:pPr>
              <w:jc w:val="center"/>
              <w:rPr>
                <w:rFonts w:ascii="Times New Roman" w:hAnsi="Times New Roman" w:cs="Times New Roman"/>
                <w:sz w:val="18"/>
                <w:szCs w:val="18"/>
              </w:rPr>
            </w:pPr>
            <w:r>
              <w:rPr>
                <w:rFonts w:ascii="Times New Roman" w:hAnsi="Times New Roman" w:cs="Times New Roman"/>
                <w:sz w:val="18"/>
                <w:szCs w:val="18"/>
              </w:rPr>
              <w:t>O.E. &gt; 30 partecipanti (+30%)</w:t>
            </w:r>
          </w:p>
        </w:tc>
      </w:tr>
      <w:tr w:rsidR="00ED2BB2" w14:paraId="54013173" w14:textId="77777777" w:rsidTr="00ED2BB2">
        <w:tc>
          <w:tcPr>
            <w:tcW w:w="855" w:type="pct"/>
            <w:tcBorders>
              <w:top w:val="single" w:sz="4" w:space="0" w:color="auto"/>
              <w:left w:val="single" w:sz="4" w:space="0" w:color="auto"/>
              <w:bottom w:val="single" w:sz="4" w:space="0" w:color="auto"/>
              <w:right w:val="single" w:sz="4" w:space="0" w:color="auto"/>
            </w:tcBorders>
            <w:hideMark/>
          </w:tcPr>
          <w:p w14:paraId="44712C29" w14:textId="77777777" w:rsidR="00ED2BB2" w:rsidRDefault="00ED2BB2">
            <w:pPr>
              <w:jc w:val="center"/>
              <w:rPr>
                <w:rFonts w:ascii="Times New Roman" w:hAnsi="Times New Roman" w:cs="Times New Roman"/>
                <w:sz w:val="18"/>
                <w:szCs w:val="18"/>
              </w:rPr>
            </w:pPr>
            <w:r>
              <w:rPr>
                <w:rFonts w:ascii="Times New Roman" w:hAnsi="Times New Roman" w:cs="Times New Roman"/>
                <w:sz w:val="18"/>
                <w:szCs w:val="18"/>
              </w:rPr>
              <w:t>≤ 40.000</w:t>
            </w:r>
          </w:p>
        </w:tc>
        <w:tc>
          <w:tcPr>
            <w:tcW w:w="680" w:type="pct"/>
            <w:tcBorders>
              <w:top w:val="single" w:sz="4" w:space="0" w:color="auto"/>
              <w:left w:val="single" w:sz="4" w:space="0" w:color="auto"/>
              <w:bottom w:val="single" w:sz="4" w:space="0" w:color="auto"/>
              <w:right w:val="single" w:sz="4" w:space="0" w:color="auto"/>
            </w:tcBorders>
            <w:hideMark/>
          </w:tcPr>
          <w:p w14:paraId="44B80107"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 xml:space="preserve">600,00 </w:t>
            </w:r>
          </w:p>
        </w:tc>
        <w:tc>
          <w:tcPr>
            <w:tcW w:w="718" w:type="pct"/>
            <w:tcBorders>
              <w:top w:val="single" w:sz="4" w:space="0" w:color="auto"/>
              <w:left w:val="single" w:sz="4" w:space="0" w:color="auto"/>
              <w:bottom w:val="single" w:sz="4" w:space="0" w:color="auto"/>
              <w:right w:val="single" w:sz="4" w:space="0" w:color="auto"/>
            </w:tcBorders>
            <w:hideMark/>
          </w:tcPr>
          <w:p w14:paraId="620C451B"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600,00</w:t>
            </w:r>
          </w:p>
        </w:tc>
        <w:tc>
          <w:tcPr>
            <w:tcW w:w="822" w:type="pct"/>
            <w:tcBorders>
              <w:top w:val="single" w:sz="4" w:space="0" w:color="auto"/>
              <w:left w:val="single" w:sz="4" w:space="0" w:color="auto"/>
              <w:bottom w:val="single" w:sz="4" w:space="0" w:color="auto"/>
              <w:right w:val="single" w:sz="4" w:space="0" w:color="auto"/>
            </w:tcBorders>
            <w:hideMark/>
          </w:tcPr>
          <w:p w14:paraId="0BC3F54D"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400,00</w:t>
            </w:r>
          </w:p>
        </w:tc>
        <w:tc>
          <w:tcPr>
            <w:tcW w:w="633" w:type="pct"/>
            <w:tcBorders>
              <w:top w:val="single" w:sz="4" w:space="0" w:color="auto"/>
              <w:left w:val="single" w:sz="4" w:space="0" w:color="auto"/>
              <w:bottom w:val="single" w:sz="4" w:space="0" w:color="auto"/>
              <w:right w:val="single" w:sz="4" w:space="0" w:color="auto"/>
            </w:tcBorders>
            <w:hideMark/>
          </w:tcPr>
          <w:p w14:paraId="77A6524D"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1.400,00</w:t>
            </w:r>
          </w:p>
        </w:tc>
        <w:tc>
          <w:tcPr>
            <w:tcW w:w="620" w:type="pct"/>
            <w:tcBorders>
              <w:top w:val="single" w:sz="4" w:space="0" w:color="auto"/>
              <w:left w:val="single" w:sz="4" w:space="0" w:color="auto"/>
              <w:bottom w:val="single" w:sz="4" w:space="0" w:color="auto"/>
              <w:right w:val="single" w:sz="4" w:space="0" w:color="auto"/>
            </w:tcBorders>
            <w:hideMark/>
          </w:tcPr>
          <w:p w14:paraId="42B0512E"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1.610,00</w:t>
            </w:r>
          </w:p>
        </w:tc>
        <w:tc>
          <w:tcPr>
            <w:tcW w:w="672" w:type="pct"/>
            <w:tcBorders>
              <w:top w:val="single" w:sz="4" w:space="0" w:color="auto"/>
              <w:left w:val="single" w:sz="4" w:space="0" w:color="auto"/>
              <w:bottom w:val="single" w:sz="4" w:space="0" w:color="auto"/>
              <w:right w:val="single" w:sz="4" w:space="0" w:color="auto"/>
            </w:tcBorders>
            <w:hideMark/>
          </w:tcPr>
          <w:p w14:paraId="01271946"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1.820,00</w:t>
            </w:r>
          </w:p>
        </w:tc>
      </w:tr>
      <w:tr w:rsidR="00ED2BB2" w14:paraId="5528BCD2" w14:textId="77777777" w:rsidTr="00ED2BB2">
        <w:tc>
          <w:tcPr>
            <w:tcW w:w="855" w:type="pct"/>
            <w:tcBorders>
              <w:top w:val="single" w:sz="4" w:space="0" w:color="auto"/>
              <w:left w:val="single" w:sz="4" w:space="0" w:color="auto"/>
              <w:bottom w:val="single" w:sz="4" w:space="0" w:color="auto"/>
              <w:right w:val="single" w:sz="4" w:space="0" w:color="auto"/>
            </w:tcBorders>
            <w:hideMark/>
          </w:tcPr>
          <w:p w14:paraId="4CD2EA42" w14:textId="77777777" w:rsidR="00ED2BB2" w:rsidRDefault="00ED2BB2">
            <w:pPr>
              <w:spacing w:after="255"/>
              <w:contextualSpacing/>
              <w:jc w:val="center"/>
              <w:rPr>
                <w:rFonts w:ascii="Times New Roman" w:hAnsi="Times New Roman" w:cs="Times New Roman"/>
                <w:sz w:val="18"/>
                <w:szCs w:val="18"/>
              </w:rPr>
            </w:pPr>
            <w:r>
              <w:rPr>
                <w:rFonts w:ascii="Times New Roman" w:hAnsi="Times New Roman" w:cs="Times New Roman"/>
                <w:sz w:val="18"/>
                <w:szCs w:val="18"/>
              </w:rPr>
              <w:t>&gt; 40.000 ≤ 140.000</w:t>
            </w:r>
          </w:p>
        </w:tc>
        <w:tc>
          <w:tcPr>
            <w:tcW w:w="680" w:type="pct"/>
            <w:tcBorders>
              <w:top w:val="single" w:sz="4" w:space="0" w:color="auto"/>
              <w:left w:val="single" w:sz="4" w:space="0" w:color="auto"/>
              <w:bottom w:val="single" w:sz="4" w:space="0" w:color="auto"/>
              <w:right w:val="single" w:sz="4" w:space="0" w:color="auto"/>
            </w:tcBorders>
            <w:hideMark/>
          </w:tcPr>
          <w:p w14:paraId="5271D758"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 xml:space="preserve">1.250,00 </w:t>
            </w:r>
          </w:p>
        </w:tc>
        <w:tc>
          <w:tcPr>
            <w:tcW w:w="718" w:type="pct"/>
            <w:tcBorders>
              <w:top w:val="single" w:sz="4" w:space="0" w:color="auto"/>
              <w:left w:val="single" w:sz="4" w:space="0" w:color="auto"/>
              <w:bottom w:val="single" w:sz="4" w:space="0" w:color="auto"/>
              <w:right w:val="single" w:sz="4" w:space="0" w:color="auto"/>
            </w:tcBorders>
            <w:hideMark/>
          </w:tcPr>
          <w:p w14:paraId="745F1DFD"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1.350,00</w:t>
            </w:r>
          </w:p>
        </w:tc>
        <w:tc>
          <w:tcPr>
            <w:tcW w:w="822" w:type="pct"/>
            <w:tcBorders>
              <w:top w:val="single" w:sz="4" w:space="0" w:color="auto"/>
              <w:left w:val="single" w:sz="4" w:space="0" w:color="auto"/>
              <w:bottom w:val="single" w:sz="4" w:space="0" w:color="auto"/>
              <w:right w:val="single" w:sz="4" w:space="0" w:color="auto"/>
            </w:tcBorders>
            <w:hideMark/>
          </w:tcPr>
          <w:p w14:paraId="000E56A5"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1.100,00</w:t>
            </w:r>
          </w:p>
        </w:tc>
        <w:tc>
          <w:tcPr>
            <w:tcW w:w="633" w:type="pct"/>
            <w:tcBorders>
              <w:top w:val="single" w:sz="4" w:space="0" w:color="auto"/>
              <w:left w:val="single" w:sz="4" w:space="0" w:color="auto"/>
              <w:bottom w:val="single" w:sz="4" w:space="0" w:color="auto"/>
              <w:right w:val="single" w:sz="4" w:space="0" w:color="auto"/>
            </w:tcBorders>
            <w:hideMark/>
          </w:tcPr>
          <w:p w14:paraId="411EA26D"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3.550,00</w:t>
            </w:r>
          </w:p>
        </w:tc>
        <w:tc>
          <w:tcPr>
            <w:tcW w:w="620" w:type="pct"/>
            <w:tcBorders>
              <w:top w:val="single" w:sz="4" w:space="0" w:color="auto"/>
              <w:left w:val="single" w:sz="4" w:space="0" w:color="auto"/>
              <w:bottom w:val="single" w:sz="4" w:space="0" w:color="auto"/>
              <w:right w:val="single" w:sz="4" w:space="0" w:color="auto"/>
            </w:tcBorders>
            <w:hideMark/>
          </w:tcPr>
          <w:p w14:paraId="4F4A0910"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4.082,50</w:t>
            </w:r>
          </w:p>
        </w:tc>
        <w:tc>
          <w:tcPr>
            <w:tcW w:w="672" w:type="pct"/>
            <w:tcBorders>
              <w:top w:val="single" w:sz="4" w:space="0" w:color="auto"/>
              <w:left w:val="single" w:sz="4" w:space="0" w:color="auto"/>
              <w:bottom w:val="single" w:sz="4" w:space="0" w:color="auto"/>
              <w:right w:val="single" w:sz="4" w:space="0" w:color="auto"/>
            </w:tcBorders>
            <w:hideMark/>
          </w:tcPr>
          <w:p w14:paraId="664A8DA4"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4.615,00</w:t>
            </w:r>
          </w:p>
        </w:tc>
      </w:tr>
      <w:tr w:rsidR="00ED2BB2" w14:paraId="0DB91B59" w14:textId="77777777" w:rsidTr="00ED2BB2">
        <w:tc>
          <w:tcPr>
            <w:tcW w:w="855" w:type="pct"/>
            <w:tcBorders>
              <w:top w:val="single" w:sz="4" w:space="0" w:color="auto"/>
              <w:left w:val="single" w:sz="4" w:space="0" w:color="auto"/>
              <w:bottom w:val="single" w:sz="4" w:space="0" w:color="auto"/>
              <w:right w:val="single" w:sz="4" w:space="0" w:color="auto"/>
            </w:tcBorders>
            <w:hideMark/>
          </w:tcPr>
          <w:p w14:paraId="16E0A1E1" w14:textId="77777777" w:rsidR="00ED2BB2" w:rsidRDefault="00ED2BB2">
            <w:pPr>
              <w:jc w:val="center"/>
              <w:rPr>
                <w:rFonts w:ascii="Times New Roman" w:hAnsi="Times New Roman" w:cs="Times New Roman"/>
                <w:sz w:val="18"/>
                <w:szCs w:val="18"/>
              </w:rPr>
            </w:pPr>
            <w:r>
              <w:rPr>
                <w:rFonts w:ascii="Times New Roman" w:hAnsi="Times New Roman" w:cs="Times New Roman"/>
                <w:sz w:val="18"/>
                <w:szCs w:val="18"/>
              </w:rPr>
              <w:t>&gt; 140.000 ≤ 1.000.000</w:t>
            </w:r>
          </w:p>
        </w:tc>
        <w:tc>
          <w:tcPr>
            <w:tcW w:w="680" w:type="pct"/>
            <w:tcBorders>
              <w:top w:val="single" w:sz="4" w:space="0" w:color="auto"/>
              <w:left w:val="single" w:sz="4" w:space="0" w:color="auto"/>
              <w:bottom w:val="single" w:sz="4" w:space="0" w:color="auto"/>
              <w:right w:val="single" w:sz="4" w:space="0" w:color="auto"/>
            </w:tcBorders>
            <w:hideMark/>
          </w:tcPr>
          <w:p w14:paraId="42AEE332"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 xml:space="preserve">1.650,00 </w:t>
            </w:r>
          </w:p>
        </w:tc>
        <w:tc>
          <w:tcPr>
            <w:tcW w:w="718" w:type="pct"/>
            <w:tcBorders>
              <w:top w:val="single" w:sz="4" w:space="0" w:color="auto"/>
              <w:left w:val="single" w:sz="4" w:space="0" w:color="auto"/>
              <w:bottom w:val="single" w:sz="4" w:space="0" w:color="auto"/>
              <w:right w:val="single" w:sz="4" w:space="0" w:color="auto"/>
            </w:tcBorders>
            <w:hideMark/>
          </w:tcPr>
          <w:p w14:paraId="4A4EC051"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1.800,00</w:t>
            </w:r>
          </w:p>
        </w:tc>
        <w:tc>
          <w:tcPr>
            <w:tcW w:w="822" w:type="pct"/>
            <w:tcBorders>
              <w:top w:val="single" w:sz="4" w:space="0" w:color="auto"/>
              <w:left w:val="single" w:sz="4" w:space="0" w:color="auto"/>
              <w:bottom w:val="single" w:sz="4" w:space="0" w:color="auto"/>
              <w:right w:val="single" w:sz="4" w:space="0" w:color="auto"/>
            </w:tcBorders>
            <w:hideMark/>
          </w:tcPr>
          <w:p w14:paraId="4A34C462"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1.300,00</w:t>
            </w:r>
          </w:p>
        </w:tc>
        <w:tc>
          <w:tcPr>
            <w:tcW w:w="633" w:type="pct"/>
            <w:tcBorders>
              <w:top w:val="single" w:sz="4" w:space="0" w:color="auto"/>
              <w:left w:val="single" w:sz="4" w:space="0" w:color="auto"/>
              <w:bottom w:val="single" w:sz="4" w:space="0" w:color="auto"/>
              <w:right w:val="single" w:sz="4" w:space="0" w:color="auto"/>
            </w:tcBorders>
            <w:hideMark/>
          </w:tcPr>
          <w:p w14:paraId="655EBF16"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4.400,00</w:t>
            </w:r>
          </w:p>
        </w:tc>
        <w:tc>
          <w:tcPr>
            <w:tcW w:w="620" w:type="pct"/>
            <w:tcBorders>
              <w:top w:val="single" w:sz="4" w:space="0" w:color="auto"/>
              <w:left w:val="single" w:sz="4" w:space="0" w:color="auto"/>
              <w:bottom w:val="single" w:sz="4" w:space="0" w:color="auto"/>
              <w:right w:val="single" w:sz="4" w:space="0" w:color="auto"/>
            </w:tcBorders>
            <w:hideMark/>
          </w:tcPr>
          <w:p w14:paraId="7ED5A6E0"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5.060,00</w:t>
            </w:r>
          </w:p>
        </w:tc>
        <w:tc>
          <w:tcPr>
            <w:tcW w:w="672" w:type="pct"/>
            <w:tcBorders>
              <w:top w:val="single" w:sz="4" w:space="0" w:color="auto"/>
              <w:left w:val="single" w:sz="4" w:space="0" w:color="auto"/>
              <w:bottom w:val="single" w:sz="4" w:space="0" w:color="auto"/>
              <w:right w:val="single" w:sz="4" w:space="0" w:color="auto"/>
            </w:tcBorders>
            <w:hideMark/>
          </w:tcPr>
          <w:p w14:paraId="656FD130"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5.720,00</w:t>
            </w:r>
          </w:p>
        </w:tc>
      </w:tr>
      <w:tr w:rsidR="00ED2BB2" w14:paraId="145DEA77" w14:textId="77777777" w:rsidTr="00ED2BB2">
        <w:tc>
          <w:tcPr>
            <w:tcW w:w="855" w:type="pct"/>
            <w:tcBorders>
              <w:top w:val="single" w:sz="4" w:space="0" w:color="auto"/>
              <w:left w:val="single" w:sz="4" w:space="0" w:color="auto"/>
              <w:bottom w:val="single" w:sz="4" w:space="0" w:color="auto"/>
              <w:right w:val="single" w:sz="4" w:space="0" w:color="auto"/>
            </w:tcBorders>
            <w:hideMark/>
          </w:tcPr>
          <w:p w14:paraId="115AD0F2" w14:textId="77777777" w:rsidR="00ED2BB2" w:rsidRDefault="00ED2BB2">
            <w:pPr>
              <w:jc w:val="center"/>
              <w:rPr>
                <w:rFonts w:ascii="Times New Roman" w:hAnsi="Times New Roman" w:cs="Times New Roman"/>
                <w:sz w:val="18"/>
                <w:szCs w:val="18"/>
              </w:rPr>
            </w:pPr>
            <w:r>
              <w:rPr>
                <w:rFonts w:ascii="Times New Roman" w:hAnsi="Times New Roman" w:cs="Times New Roman"/>
                <w:sz w:val="18"/>
                <w:szCs w:val="18"/>
              </w:rPr>
              <w:t>&gt; 1.000.000 ≤ 2.500.000</w:t>
            </w:r>
          </w:p>
        </w:tc>
        <w:tc>
          <w:tcPr>
            <w:tcW w:w="680" w:type="pct"/>
            <w:tcBorders>
              <w:top w:val="single" w:sz="4" w:space="0" w:color="auto"/>
              <w:left w:val="single" w:sz="4" w:space="0" w:color="auto"/>
              <w:bottom w:val="single" w:sz="4" w:space="0" w:color="auto"/>
              <w:right w:val="single" w:sz="4" w:space="0" w:color="auto"/>
            </w:tcBorders>
            <w:hideMark/>
          </w:tcPr>
          <w:p w14:paraId="640E7C73"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 xml:space="preserve">1.800,00 </w:t>
            </w:r>
          </w:p>
        </w:tc>
        <w:tc>
          <w:tcPr>
            <w:tcW w:w="718" w:type="pct"/>
            <w:tcBorders>
              <w:top w:val="single" w:sz="4" w:space="0" w:color="auto"/>
              <w:left w:val="single" w:sz="4" w:space="0" w:color="auto"/>
              <w:bottom w:val="single" w:sz="4" w:space="0" w:color="auto"/>
              <w:right w:val="single" w:sz="4" w:space="0" w:color="auto"/>
            </w:tcBorders>
            <w:hideMark/>
          </w:tcPr>
          <w:p w14:paraId="1AC92BE2"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2.250,00</w:t>
            </w:r>
          </w:p>
        </w:tc>
        <w:tc>
          <w:tcPr>
            <w:tcW w:w="822" w:type="pct"/>
            <w:tcBorders>
              <w:top w:val="single" w:sz="4" w:space="0" w:color="auto"/>
              <w:left w:val="single" w:sz="4" w:space="0" w:color="auto"/>
              <w:bottom w:val="single" w:sz="4" w:space="0" w:color="auto"/>
              <w:right w:val="single" w:sz="4" w:space="0" w:color="auto"/>
            </w:tcBorders>
            <w:hideMark/>
          </w:tcPr>
          <w:p w14:paraId="32A54A5B"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1.750,00</w:t>
            </w:r>
          </w:p>
        </w:tc>
        <w:tc>
          <w:tcPr>
            <w:tcW w:w="633" w:type="pct"/>
            <w:tcBorders>
              <w:top w:val="single" w:sz="4" w:space="0" w:color="auto"/>
              <w:left w:val="single" w:sz="4" w:space="0" w:color="auto"/>
              <w:bottom w:val="single" w:sz="4" w:space="0" w:color="auto"/>
              <w:right w:val="single" w:sz="4" w:space="0" w:color="auto"/>
            </w:tcBorders>
            <w:hideMark/>
          </w:tcPr>
          <w:p w14:paraId="0A2242F4"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5.750,00</w:t>
            </w:r>
          </w:p>
        </w:tc>
        <w:tc>
          <w:tcPr>
            <w:tcW w:w="620" w:type="pct"/>
            <w:tcBorders>
              <w:top w:val="single" w:sz="4" w:space="0" w:color="auto"/>
              <w:left w:val="single" w:sz="4" w:space="0" w:color="auto"/>
              <w:bottom w:val="single" w:sz="4" w:space="0" w:color="auto"/>
              <w:right w:val="single" w:sz="4" w:space="0" w:color="auto"/>
            </w:tcBorders>
            <w:hideMark/>
          </w:tcPr>
          <w:p w14:paraId="5F6F3F77"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6.612,50</w:t>
            </w:r>
          </w:p>
        </w:tc>
        <w:tc>
          <w:tcPr>
            <w:tcW w:w="672" w:type="pct"/>
            <w:tcBorders>
              <w:top w:val="single" w:sz="4" w:space="0" w:color="auto"/>
              <w:left w:val="single" w:sz="4" w:space="0" w:color="auto"/>
              <w:bottom w:val="single" w:sz="4" w:space="0" w:color="auto"/>
              <w:right w:val="single" w:sz="4" w:space="0" w:color="auto"/>
            </w:tcBorders>
            <w:hideMark/>
          </w:tcPr>
          <w:p w14:paraId="49E2943E"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7.475,00</w:t>
            </w:r>
          </w:p>
        </w:tc>
      </w:tr>
      <w:tr w:rsidR="00ED2BB2" w14:paraId="770CC428" w14:textId="77777777" w:rsidTr="00ED2BB2">
        <w:tc>
          <w:tcPr>
            <w:tcW w:w="855" w:type="pct"/>
            <w:tcBorders>
              <w:top w:val="single" w:sz="4" w:space="0" w:color="auto"/>
              <w:left w:val="single" w:sz="4" w:space="0" w:color="auto"/>
              <w:bottom w:val="single" w:sz="4" w:space="0" w:color="auto"/>
              <w:right w:val="single" w:sz="4" w:space="0" w:color="auto"/>
            </w:tcBorders>
            <w:hideMark/>
          </w:tcPr>
          <w:p w14:paraId="71F885D5" w14:textId="77777777" w:rsidR="00ED2BB2" w:rsidRDefault="00ED2BB2">
            <w:pPr>
              <w:jc w:val="center"/>
              <w:rPr>
                <w:rFonts w:ascii="Times New Roman" w:hAnsi="Times New Roman" w:cs="Times New Roman"/>
                <w:sz w:val="18"/>
                <w:szCs w:val="18"/>
              </w:rPr>
            </w:pPr>
            <w:r>
              <w:rPr>
                <w:rFonts w:ascii="Times New Roman" w:hAnsi="Times New Roman" w:cs="Times New Roman"/>
                <w:sz w:val="18"/>
                <w:szCs w:val="18"/>
              </w:rPr>
              <w:t>&gt; 2.500.000 ≤ 5.000.000</w:t>
            </w:r>
          </w:p>
        </w:tc>
        <w:tc>
          <w:tcPr>
            <w:tcW w:w="680" w:type="pct"/>
            <w:tcBorders>
              <w:top w:val="single" w:sz="4" w:space="0" w:color="auto"/>
              <w:left w:val="single" w:sz="4" w:space="0" w:color="auto"/>
              <w:bottom w:val="single" w:sz="4" w:space="0" w:color="auto"/>
              <w:right w:val="single" w:sz="4" w:space="0" w:color="auto"/>
            </w:tcBorders>
            <w:hideMark/>
          </w:tcPr>
          <w:p w14:paraId="66333BD4"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 xml:space="preserve">2.200,00 </w:t>
            </w:r>
          </w:p>
        </w:tc>
        <w:tc>
          <w:tcPr>
            <w:tcW w:w="718" w:type="pct"/>
            <w:tcBorders>
              <w:top w:val="single" w:sz="4" w:space="0" w:color="auto"/>
              <w:left w:val="single" w:sz="4" w:space="0" w:color="auto"/>
              <w:bottom w:val="single" w:sz="4" w:space="0" w:color="auto"/>
              <w:right w:val="single" w:sz="4" w:space="0" w:color="auto"/>
            </w:tcBorders>
            <w:hideMark/>
          </w:tcPr>
          <w:p w14:paraId="568B332B"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2.650,00</w:t>
            </w:r>
          </w:p>
        </w:tc>
        <w:tc>
          <w:tcPr>
            <w:tcW w:w="822" w:type="pct"/>
            <w:tcBorders>
              <w:top w:val="single" w:sz="4" w:space="0" w:color="auto"/>
              <w:left w:val="single" w:sz="4" w:space="0" w:color="auto"/>
              <w:bottom w:val="single" w:sz="4" w:space="0" w:color="auto"/>
              <w:right w:val="single" w:sz="4" w:space="0" w:color="auto"/>
            </w:tcBorders>
            <w:hideMark/>
          </w:tcPr>
          <w:p w14:paraId="3536DBD4"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2.100,00</w:t>
            </w:r>
          </w:p>
        </w:tc>
        <w:tc>
          <w:tcPr>
            <w:tcW w:w="633" w:type="pct"/>
            <w:tcBorders>
              <w:top w:val="single" w:sz="4" w:space="0" w:color="auto"/>
              <w:left w:val="single" w:sz="4" w:space="0" w:color="auto"/>
              <w:bottom w:val="single" w:sz="4" w:space="0" w:color="auto"/>
              <w:right w:val="single" w:sz="4" w:space="0" w:color="auto"/>
            </w:tcBorders>
            <w:hideMark/>
          </w:tcPr>
          <w:p w14:paraId="149C1A60"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 xml:space="preserve"> 6.850,00</w:t>
            </w:r>
          </w:p>
        </w:tc>
        <w:tc>
          <w:tcPr>
            <w:tcW w:w="620" w:type="pct"/>
            <w:tcBorders>
              <w:top w:val="single" w:sz="4" w:space="0" w:color="auto"/>
              <w:left w:val="single" w:sz="4" w:space="0" w:color="auto"/>
              <w:bottom w:val="single" w:sz="4" w:space="0" w:color="auto"/>
              <w:right w:val="single" w:sz="4" w:space="0" w:color="auto"/>
            </w:tcBorders>
            <w:hideMark/>
          </w:tcPr>
          <w:p w14:paraId="43AC9DDB"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7.877,50</w:t>
            </w:r>
          </w:p>
        </w:tc>
        <w:tc>
          <w:tcPr>
            <w:tcW w:w="672" w:type="pct"/>
            <w:tcBorders>
              <w:top w:val="single" w:sz="4" w:space="0" w:color="auto"/>
              <w:left w:val="single" w:sz="4" w:space="0" w:color="auto"/>
              <w:bottom w:val="single" w:sz="4" w:space="0" w:color="auto"/>
              <w:right w:val="single" w:sz="4" w:space="0" w:color="auto"/>
            </w:tcBorders>
            <w:hideMark/>
          </w:tcPr>
          <w:p w14:paraId="5030B140"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8.905,00</w:t>
            </w:r>
          </w:p>
        </w:tc>
      </w:tr>
      <w:tr w:rsidR="00ED2BB2" w14:paraId="1CEA2EAC" w14:textId="77777777" w:rsidTr="00ED2BB2">
        <w:tc>
          <w:tcPr>
            <w:tcW w:w="855" w:type="pct"/>
            <w:tcBorders>
              <w:top w:val="single" w:sz="4" w:space="0" w:color="auto"/>
              <w:left w:val="single" w:sz="4" w:space="0" w:color="auto"/>
              <w:bottom w:val="single" w:sz="4" w:space="0" w:color="auto"/>
              <w:right w:val="single" w:sz="4" w:space="0" w:color="auto"/>
            </w:tcBorders>
            <w:hideMark/>
          </w:tcPr>
          <w:p w14:paraId="3FCE1F8D" w14:textId="77777777" w:rsidR="00ED2BB2" w:rsidRDefault="00ED2BB2">
            <w:pPr>
              <w:jc w:val="center"/>
              <w:rPr>
                <w:rFonts w:ascii="Times New Roman" w:hAnsi="Times New Roman" w:cs="Times New Roman"/>
                <w:sz w:val="18"/>
                <w:szCs w:val="18"/>
              </w:rPr>
            </w:pPr>
            <w:r>
              <w:rPr>
                <w:rFonts w:ascii="Times New Roman" w:hAnsi="Times New Roman" w:cs="Times New Roman"/>
                <w:sz w:val="18"/>
                <w:szCs w:val="18"/>
              </w:rPr>
              <w:t xml:space="preserve"> &gt; 5.000.000</w:t>
            </w:r>
          </w:p>
        </w:tc>
        <w:tc>
          <w:tcPr>
            <w:tcW w:w="680" w:type="pct"/>
            <w:tcBorders>
              <w:top w:val="single" w:sz="4" w:space="0" w:color="auto"/>
              <w:left w:val="single" w:sz="4" w:space="0" w:color="auto"/>
              <w:bottom w:val="single" w:sz="4" w:space="0" w:color="auto"/>
              <w:right w:val="single" w:sz="4" w:space="0" w:color="auto"/>
            </w:tcBorders>
            <w:hideMark/>
          </w:tcPr>
          <w:p w14:paraId="619D4926"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 xml:space="preserve">2.700,00 </w:t>
            </w:r>
          </w:p>
        </w:tc>
        <w:tc>
          <w:tcPr>
            <w:tcW w:w="718" w:type="pct"/>
            <w:tcBorders>
              <w:top w:val="single" w:sz="4" w:space="0" w:color="auto"/>
              <w:left w:val="single" w:sz="4" w:space="0" w:color="auto"/>
              <w:bottom w:val="single" w:sz="4" w:space="0" w:color="auto"/>
              <w:right w:val="single" w:sz="4" w:space="0" w:color="auto"/>
            </w:tcBorders>
            <w:hideMark/>
          </w:tcPr>
          <w:p w14:paraId="6A0C2A58"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3.250,00</w:t>
            </w:r>
          </w:p>
        </w:tc>
        <w:tc>
          <w:tcPr>
            <w:tcW w:w="822" w:type="pct"/>
            <w:tcBorders>
              <w:top w:val="single" w:sz="4" w:space="0" w:color="auto"/>
              <w:left w:val="single" w:sz="4" w:space="0" w:color="auto"/>
              <w:bottom w:val="single" w:sz="4" w:space="0" w:color="auto"/>
              <w:right w:val="single" w:sz="4" w:space="0" w:color="auto"/>
            </w:tcBorders>
            <w:hideMark/>
          </w:tcPr>
          <w:p w14:paraId="6FC14F40"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2.600,00</w:t>
            </w:r>
          </w:p>
        </w:tc>
        <w:tc>
          <w:tcPr>
            <w:tcW w:w="633" w:type="pct"/>
            <w:tcBorders>
              <w:top w:val="single" w:sz="4" w:space="0" w:color="auto"/>
              <w:left w:val="single" w:sz="4" w:space="0" w:color="auto"/>
              <w:bottom w:val="single" w:sz="4" w:space="0" w:color="auto"/>
              <w:right w:val="single" w:sz="4" w:space="0" w:color="auto"/>
            </w:tcBorders>
            <w:hideMark/>
          </w:tcPr>
          <w:p w14:paraId="660A4FEC"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 xml:space="preserve"> 8.450,00</w:t>
            </w:r>
          </w:p>
        </w:tc>
        <w:tc>
          <w:tcPr>
            <w:tcW w:w="620" w:type="pct"/>
            <w:tcBorders>
              <w:top w:val="single" w:sz="4" w:space="0" w:color="auto"/>
              <w:left w:val="single" w:sz="4" w:space="0" w:color="auto"/>
              <w:bottom w:val="single" w:sz="4" w:space="0" w:color="auto"/>
              <w:right w:val="single" w:sz="4" w:space="0" w:color="auto"/>
            </w:tcBorders>
            <w:hideMark/>
          </w:tcPr>
          <w:p w14:paraId="34A8EC5F"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9.717,50</w:t>
            </w:r>
          </w:p>
        </w:tc>
        <w:tc>
          <w:tcPr>
            <w:tcW w:w="672" w:type="pct"/>
            <w:tcBorders>
              <w:top w:val="single" w:sz="4" w:space="0" w:color="auto"/>
              <w:left w:val="single" w:sz="4" w:space="0" w:color="auto"/>
              <w:bottom w:val="single" w:sz="4" w:space="0" w:color="auto"/>
              <w:right w:val="single" w:sz="4" w:space="0" w:color="auto"/>
            </w:tcBorders>
            <w:hideMark/>
          </w:tcPr>
          <w:p w14:paraId="4F80D7F8" w14:textId="77777777" w:rsidR="00ED2BB2" w:rsidRDefault="00ED2BB2">
            <w:pPr>
              <w:jc w:val="right"/>
              <w:rPr>
                <w:rFonts w:ascii="Times New Roman" w:hAnsi="Times New Roman" w:cs="Times New Roman"/>
                <w:sz w:val="18"/>
                <w:szCs w:val="18"/>
              </w:rPr>
            </w:pPr>
            <w:r>
              <w:rPr>
                <w:rFonts w:ascii="Times New Roman" w:hAnsi="Times New Roman" w:cs="Times New Roman"/>
                <w:sz w:val="18"/>
                <w:szCs w:val="18"/>
              </w:rPr>
              <w:t>10.985,00</w:t>
            </w:r>
          </w:p>
        </w:tc>
      </w:tr>
    </w:tbl>
    <w:p w14:paraId="5F0D2D56" w14:textId="77777777" w:rsidR="00ED2BB2" w:rsidRDefault="00ED2BB2" w:rsidP="00ED2BB2">
      <w:pPr>
        <w:pStyle w:val="Default"/>
        <w:jc w:val="both"/>
        <w:rPr>
          <w:rFonts w:ascii="Times New Roman" w:hAnsi="Times New Roman" w:cs="Times New Roman"/>
          <w:color w:val="auto"/>
          <w:sz w:val="18"/>
          <w:szCs w:val="18"/>
        </w:rPr>
      </w:pPr>
      <w:r>
        <w:rPr>
          <w:rFonts w:ascii="Times New Roman" w:hAnsi="Times New Roman" w:cs="Times New Roman"/>
          <w:color w:val="auto"/>
          <w:sz w:val="18"/>
          <w:szCs w:val="18"/>
        </w:rPr>
        <w:t>Agli importi di cui sopra va aggiunta l’iva in tutti i casi previsti dalla legge.</w:t>
      </w:r>
    </w:p>
    <w:p w14:paraId="17912691" w14:textId="77777777" w:rsidR="00ED2BB2" w:rsidRDefault="00ED2BB2" w:rsidP="00ED2BB2">
      <w:pPr>
        <w:pStyle w:val="Default"/>
        <w:jc w:val="both"/>
        <w:rPr>
          <w:rFonts w:ascii="Times New Roman" w:hAnsi="Times New Roman" w:cs="Times New Roman"/>
          <w:color w:val="auto"/>
          <w:sz w:val="18"/>
          <w:szCs w:val="18"/>
        </w:rPr>
      </w:pPr>
    </w:p>
    <w:p w14:paraId="368158DA" w14:textId="77777777" w:rsidR="00ED2BB2" w:rsidRDefault="00ED2BB2" w:rsidP="00ED2BB2">
      <w:pPr>
        <w:pStyle w:val="Default"/>
        <w:jc w:val="both"/>
        <w:rPr>
          <w:rFonts w:ascii="Times New Roman" w:hAnsi="Times New Roman" w:cs="Times New Roman"/>
          <w:color w:val="auto"/>
          <w:sz w:val="18"/>
          <w:szCs w:val="18"/>
        </w:rPr>
      </w:pPr>
      <w:r>
        <w:rPr>
          <w:rFonts w:ascii="Times New Roman" w:hAnsi="Times New Roman" w:cs="Times New Roman"/>
          <w:color w:val="auto"/>
          <w:sz w:val="18"/>
          <w:szCs w:val="18"/>
        </w:rPr>
        <w:t xml:space="preserve">Le sedute di gara delle Commissioni giudicatrici possono svolgersi in modalità interamente telematica, ai sensi del comma 4 dell’art. 93 del d.lgs. n.36/2023, con sedute di gara a distanza mediante l’utilizzo dei servizi di videoconferenza integrati ovvero presso la sede della Stazione Appaltante Qualificata. </w:t>
      </w:r>
    </w:p>
    <w:p w14:paraId="1B3A6450" w14:textId="77777777" w:rsidR="00ED2BB2" w:rsidRDefault="00ED2BB2" w:rsidP="00ED2BB2">
      <w:pPr>
        <w:spacing w:after="0" w:line="240" w:lineRule="auto"/>
        <w:jc w:val="both"/>
        <w:rPr>
          <w:rFonts w:ascii="Times New Roman" w:hAnsi="Times New Roman" w:cs="Times New Roman"/>
          <w:b/>
          <w:bCs/>
          <w:sz w:val="18"/>
          <w:szCs w:val="18"/>
        </w:rPr>
      </w:pPr>
    </w:p>
    <w:p w14:paraId="2A26FE9F" w14:textId="77777777" w:rsidR="00ED2BB2" w:rsidRDefault="00ED2BB2" w:rsidP="00ED2BB2">
      <w:pPr>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 xml:space="preserve">Art. 7 – Organo competente e dichiarazioni </w:t>
      </w:r>
    </w:p>
    <w:p w14:paraId="3502DE06" w14:textId="77777777" w:rsidR="00ED2BB2" w:rsidRDefault="00ED2BB2" w:rsidP="00ED2BB2">
      <w:pPr>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L’organo compente all’approvazione del presente Accordo è la giunta comunale/esecutiva o il previsto organo esecutivo dei sottoscrittori. </w:t>
      </w:r>
    </w:p>
    <w:p w14:paraId="4A0C51DD" w14:textId="77777777" w:rsidR="00ED2BB2" w:rsidRDefault="00ED2BB2" w:rsidP="00ED2BB2">
      <w:pPr>
        <w:spacing w:after="0" w:line="240" w:lineRule="auto"/>
        <w:jc w:val="both"/>
        <w:rPr>
          <w:rFonts w:ascii="Times New Roman" w:hAnsi="Times New Roman" w:cs="Times New Roman"/>
          <w:sz w:val="18"/>
          <w:szCs w:val="18"/>
        </w:rPr>
      </w:pPr>
      <w:r>
        <w:rPr>
          <w:rFonts w:ascii="Times New Roman" w:hAnsi="Times New Roman" w:cs="Times New Roman"/>
          <w:sz w:val="18"/>
          <w:szCs w:val="18"/>
        </w:rPr>
        <w:t>La presente collaborazione consente ai sottoscrittori, pur avendo compiti e finalità pubbliche diverse, di realizzare il proprio obiettivo, in una logica non di scambio, e lo svolgimento in comune di attività dirette a soddisfare interessi pubblici che, in grossa parte, sono addirittura coincidenti e rientranti nella missione istituzionale.</w:t>
      </w:r>
    </w:p>
    <w:p w14:paraId="55AD6247" w14:textId="77777777" w:rsidR="00ED2BB2" w:rsidRDefault="00ED2BB2" w:rsidP="00ED2BB2">
      <w:pPr>
        <w:spacing w:after="0" w:line="240" w:lineRule="auto"/>
        <w:jc w:val="both"/>
        <w:rPr>
          <w:rFonts w:ascii="Times New Roman" w:eastAsia="NSimSun" w:hAnsi="Times New Roman" w:cs="Times New Roman"/>
          <w:sz w:val="18"/>
          <w:szCs w:val="18"/>
          <w:lang w:eastAsia="zh-CN" w:bidi="hi-IN"/>
        </w:rPr>
      </w:pPr>
      <w:r>
        <w:rPr>
          <w:rFonts w:ascii="Times New Roman" w:hAnsi="Times New Roman" w:cs="Times New Roman"/>
          <w:sz w:val="18"/>
          <w:szCs w:val="18"/>
        </w:rPr>
        <w:t xml:space="preserve">Il presente accordo porta ad un risultato comune, in modo complementare e sinergico, in reciproca collaborazione e nell’obiettivo comune di fornire servizi indistintamente a favore della collettività, attraverso </w:t>
      </w:r>
      <w:r>
        <w:rPr>
          <w:rFonts w:ascii="Times New Roman" w:eastAsia="NSimSun" w:hAnsi="Times New Roman" w:cs="Times New Roman"/>
          <w:sz w:val="18"/>
          <w:szCs w:val="18"/>
          <w:lang w:eastAsia="zh-CN" w:bidi="hi-IN"/>
        </w:rPr>
        <w:t xml:space="preserve">una reale divisione dei compiti e delle responsabilità e con una posizione di equiordinazione tra le parti.   </w:t>
      </w:r>
    </w:p>
    <w:p w14:paraId="77A01335" w14:textId="77777777" w:rsidR="00ED2BB2" w:rsidRDefault="00ED2BB2" w:rsidP="00ED2BB2">
      <w:pPr>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Le percentuali e gli importi suindicati, per il calcolo delle spese sostenute dalla Stazione Appaltante Qualificata, sono il giusto rimborso forfettario - ristoro necessario affinché vengano salvaguardati gli equilibri di bilancio dell’Ente Comunitario Tanagro Alto e Medio Sele e, in nessun caso, configurano il pagamento di un corrispettivo o margini di guadagno. Con tali rimborsi si persegue anche una reale cooperazione solidaristica.       </w:t>
      </w:r>
    </w:p>
    <w:p w14:paraId="530DDB27" w14:textId="77777777" w:rsidR="00ED2BB2" w:rsidRDefault="00ED2BB2" w:rsidP="00ED2BB2">
      <w:pPr>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Si stabilisce che la stazione appaltante non qualificata può richiedere i servizi di cui al presente accordo anche per le procedure di affidamento di forniture e servizi di importo inferiore alle soglie previste per gli affidamenti diretti nonché quelle di affidamento di lavori d’importo inferiore a 500 mila euro, riconoscendo alla stazione appaltante qualificata Comunità Montana Tanagro Alto e Medio Sele il rimborso delle spese sostenute applicando le percentuali e gli importi di cui agli articoli precedenti. </w:t>
      </w:r>
    </w:p>
    <w:p w14:paraId="559D4D98" w14:textId="77777777" w:rsidR="00ED2BB2" w:rsidRDefault="00ED2BB2" w:rsidP="00ED2BB2">
      <w:pPr>
        <w:spacing w:after="0" w:line="240" w:lineRule="auto"/>
        <w:jc w:val="both"/>
        <w:rPr>
          <w:rFonts w:ascii="Times New Roman" w:hAnsi="Times New Roman" w:cs="Times New Roman"/>
          <w:b/>
          <w:bCs/>
          <w:sz w:val="18"/>
          <w:szCs w:val="18"/>
        </w:rPr>
      </w:pPr>
    </w:p>
    <w:p w14:paraId="0EB6A5AD" w14:textId="77777777" w:rsidR="00ED2BB2" w:rsidRDefault="00ED2BB2" w:rsidP="00ED2BB2">
      <w:pPr>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Art. 8 – Revisioni e misure attuative</w:t>
      </w:r>
    </w:p>
    <w:p w14:paraId="0FFE8F14" w14:textId="77777777" w:rsidR="00ED2BB2" w:rsidRDefault="00ED2BB2" w:rsidP="00ED2BB2">
      <w:pPr>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Il presente Accordo può essere modificato, integrato o aggiornato, esclusivamente in forma scritta e di comune accordo. </w:t>
      </w:r>
    </w:p>
    <w:p w14:paraId="33C3B2B4" w14:textId="77777777" w:rsidR="00ED2BB2" w:rsidRDefault="00ED2BB2" w:rsidP="00ED2BB2">
      <w:pPr>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Le Parti concordano di procedere periodicamente a una verifica congiunta delle regole del presente accordo in caso di evoluzioni del quadro giuridico di riferimento. </w:t>
      </w:r>
    </w:p>
    <w:p w14:paraId="75AB8552" w14:textId="77777777" w:rsidR="00ED2BB2" w:rsidRDefault="00ED2BB2" w:rsidP="00ED2BB2">
      <w:pPr>
        <w:spacing w:after="0" w:line="240" w:lineRule="auto"/>
        <w:jc w:val="both"/>
        <w:rPr>
          <w:rFonts w:ascii="Times New Roman" w:hAnsi="Times New Roman" w:cs="Times New Roman"/>
          <w:b/>
          <w:bCs/>
          <w:sz w:val="18"/>
          <w:szCs w:val="18"/>
        </w:rPr>
      </w:pPr>
    </w:p>
    <w:p w14:paraId="50268423" w14:textId="77777777" w:rsidR="00ED2BB2" w:rsidRDefault="00ED2BB2" w:rsidP="00ED2BB2">
      <w:pPr>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 xml:space="preserve">Art. 9 - Controversie </w:t>
      </w:r>
    </w:p>
    <w:p w14:paraId="70A81B89"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La risoluzione di eventuali controversie, anche nei casi di difforme e contrastante interpretazione della presente collaborazione-accordo, dovrà essere ricercata prioritariamente in via bonaria. </w:t>
      </w:r>
    </w:p>
    <w:p w14:paraId="7C355B64"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Il foro compente è quello di Salerno. </w:t>
      </w:r>
    </w:p>
    <w:p w14:paraId="25FFF8A7" w14:textId="77777777" w:rsidR="00ED2BB2" w:rsidRDefault="00ED2BB2" w:rsidP="00ED2BB2">
      <w:pPr>
        <w:spacing w:after="0" w:line="240" w:lineRule="auto"/>
        <w:jc w:val="both"/>
        <w:rPr>
          <w:rFonts w:ascii="Times New Roman" w:hAnsi="Times New Roman" w:cs="Times New Roman"/>
          <w:b/>
          <w:bCs/>
          <w:sz w:val="18"/>
          <w:szCs w:val="18"/>
        </w:rPr>
      </w:pPr>
    </w:p>
    <w:p w14:paraId="67F2D2BE" w14:textId="77777777" w:rsidR="00ED2BB2" w:rsidRDefault="00ED2BB2" w:rsidP="00ED2BB2">
      <w:pPr>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Art. 10 – Deroghe e norme di rinvio</w:t>
      </w:r>
    </w:p>
    <w:p w14:paraId="698BA614" w14:textId="77777777" w:rsidR="00ED2BB2" w:rsidRDefault="00ED2BB2" w:rsidP="00ED2BB2">
      <w:pPr>
        <w:suppressAutoHyphens/>
        <w:spacing w:after="0" w:line="240" w:lineRule="auto"/>
        <w:jc w:val="both"/>
        <w:rPr>
          <w:rFonts w:ascii="Times New Roman" w:eastAsia="NSimSun" w:hAnsi="Times New Roman" w:cs="Times New Roman"/>
          <w:sz w:val="18"/>
          <w:szCs w:val="18"/>
          <w:lang w:eastAsia="zh-CN" w:bidi="hi-IN"/>
        </w:rPr>
      </w:pPr>
      <w:r>
        <w:rPr>
          <w:rFonts w:ascii="Times New Roman" w:eastAsia="NSimSun" w:hAnsi="Times New Roman" w:cs="Times New Roman"/>
          <w:sz w:val="18"/>
          <w:szCs w:val="18"/>
          <w:lang w:eastAsia="zh-CN" w:bidi="hi-IN"/>
        </w:rPr>
        <w:t xml:space="preserve">Per quanto non espressamente previsto nel presente accordo si rimanda a specifiche intese di volta in volta raggiunte, con adozione, se e in quanto necessario, di atti appositi da parte degli organi competenti, al codice civile e alla normativa vigente. </w:t>
      </w:r>
    </w:p>
    <w:p w14:paraId="2D6F2C0D" w14:textId="77777777" w:rsidR="00ED2BB2" w:rsidRDefault="00ED2BB2" w:rsidP="00ED2BB2">
      <w:pPr>
        <w:spacing w:after="0" w:line="240" w:lineRule="auto"/>
        <w:jc w:val="both"/>
        <w:rPr>
          <w:rFonts w:ascii="Times New Roman" w:hAnsi="Times New Roman" w:cs="Times New Roman"/>
          <w:b/>
          <w:bCs/>
          <w:sz w:val="18"/>
          <w:szCs w:val="18"/>
        </w:rPr>
      </w:pPr>
    </w:p>
    <w:p w14:paraId="1CF9BFF3" w14:textId="77777777" w:rsidR="00ED2BB2" w:rsidRDefault="00ED2BB2" w:rsidP="00ED2BB2">
      <w:pPr>
        <w:widowControl w:val="0"/>
        <w:autoSpaceDE w:val="0"/>
        <w:autoSpaceDN w:val="0"/>
        <w:adjustRightInd w:val="0"/>
        <w:spacing w:after="0" w:line="240" w:lineRule="auto"/>
        <w:jc w:val="both"/>
        <w:rPr>
          <w:rFonts w:ascii="Times New Roman" w:eastAsia="Times New Roman" w:hAnsi="Times New Roman" w:cs="Times New Roman"/>
          <w:bCs/>
          <w:kern w:val="0"/>
          <w:sz w:val="18"/>
          <w:szCs w:val="18"/>
          <w:lang w:eastAsia="it-IT"/>
          <w14:ligatures w14:val="none"/>
        </w:rPr>
      </w:pPr>
      <w:r>
        <w:rPr>
          <w:rFonts w:ascii="Times New Roman" w:hAnsi="Times New Roman" w:cs="Times New Roman"/>
          <w:b/>
          <w:bCs/>
          <w:sz w:val="18"/>
          <w:szCs w:val="18"/>
        </w:rPr>
        <w:t xml:space="preserve">Art. 11 – </w:t>
      </w:r>
      <w:r>
        <w:rPr>
          <w:rFonts w:ascii="Times New Roman" w:eastAsia="Times New Roman" w:hAnsi="Times New Roman" w:cs="Times New Roman"/>
          <w:b/>
          <w:kern w:val="0"/>
          <w:sz w:val="18"/>
          <w:szCs w:val="18"/>
          <w:lang w:eastAsia="it-IT"/>
          <w14:ligatures w14:val="none"/>
        </w:rPr>
        <w:t>Patto di integrità e trattamento dei dati</w:t>
      </w:r>
    </w:p>
    <w:p w14:paraId="34457CDC" w14:textId="77777777" w:rsidR="00ED2BB2" w:rsidRDefault="00ED2BB2" w:rsidP="00ED2BB2">
      <w:pPr>
        <w:widowControl w:val="0"/>
        <w:autoSpaceDE w:val="0"/>
        <w:autoSpaceDN w:val="0"/>
        <w:adjustRightInd w:val="0"/>
        <w:spacing w:after="0" w:line="240" w:lineRule="auto"/>
        <w:jc w:val="both"/>
        <w:rPr>
          <w:rFonts w:ascii="Times New Roman" w:eastAsia="Times New Roman" w:hAnsi="Times New Roman" w:cs="Times New Roman"/>
          <w:bCs/>
          <w:kern w:val="0"/>
          <w:sz w:val="18"/>
          <w:szCs w:val="18"/>
          <w:lang w:eastAsia="it-IT"/>
          <w14:ligatures w14:val="none"/>
        </w:rPr>
      </w:pPr>
      <w:r>
        <w:rPr>
          <w:rFonts w:ascii="Times New Roman" w:eastAsia="Times New Roman" w:hAnsi="Times New Roman" w:cs="Times New Roman"/>
          <w:bCs/>
          <w:kern w:val="0"/>
          <w:sz w:val="18"/>
          <w:szCs w:val="18"/>
          <w:lang w:eastAsia="it-IT"/>
          <w14:ligatures w14:val="none"/>
        </w:rPr>
        <w:t>Le parti si obbligano reciprocamente a conformare i propri comportamenti ai principi di lealtà, trasparenza, segretezza e buona andamento. Si impegnano reciprocamente a segnalare tentativi di turbativa, irregolarità o distorsioni nelle fasi di svolgimento della gara da parte di terzi o da parte di addetti coinvolti nei procedimenti di gara. Nell’espletamento delle attività in oggetto, la Stazione Appaltante Qualificata è soggetta all’applicazione delle disposizioni di cui alla legge 190/2012 e di quelle attuative della medesima.</w:t>
      </w:r>
    </w:p>
    <w:p w14:paraId="68D3C482" w14:textId="77777777" w:rsidR="00ED2BB2" w:rsidRDefault="00ED2BB2" w:rsidP="00ED2BB2">
      <w:pPr>
        <w:widowControl w:val="0"/>
        <w:autoSpaceDE w:val="0"/>
        <w:autoSpaceDN w:val="0"/>
        <w:adjustRightInd w:val="0"/>
        <w:spacing w:after="0" w:line="240" w:lineRule="auto"/>
        <w:jc w:val="both"/>
        <w:rPr>
          <w:rFonts w:ascii="Times New Roman" w:eastAsia="Times New Roman" w:hAnsi="Times New Roman" w:cs="Times New Roman"/>
          <w:bCs/>
          <w:kern w:val="0"/>
          <w:sz w:val="18"/>
          <w:szCs w:val="18"/>
          <w:lang w:eastAsia="it-IT"/>
          <w14:ligatures w14:val="none"/>
        </w:rPr>
      </w:pPr>
      <w:r>
        <w:rPr>
          <w:rFonts w:ascii="Times New Roman" w:eastAsia="Times New Roman" w:hAnsi="Times New Roman" w:cs="Times New Roman"/>
          <w:bCs/>
          <w:kern w:val="0"/>
          <w:sz w:val="18"/>
          <w:szCs w:val="18"/>
          <w:lang w:eastAsia="it-IT"/>
          <w14:ligatures w14:val="none"/>
        </w:rPr>
        <w:t>Le parti danno il consenso incondizionato al trattamento dei propri dati per l’espletamento delle attività di cui al presente accordo.</w:t>
      </w:r>
    </w:p>
    <w:p w14:paraId="1F269F19" w14:textId="77777777" w:rsidR="00ED2BB2" w:rsidRDefault="00ED2BB2" w:rsidP="00ED2BB2">
      <w:pPr>
        <w:spacing w:after="0" w:line="240" w:lineRule="auto"/>
        <w:jc w:val="both"/>
        <w:rPr>
          <w:rFonts w:ascii="Times New Roman" w:hAnsi="Times New Roman" w:cs="Times New Roman"/>
          <w:b/>
          <w:bCs/>
          <w:sz w:val="18"/>
          <w:szCs w:val="18"/>
        </w:rPr>
      </w:pPr>
    </w:p>
    <w:p w14:paraId="27B23CD4" w14:textId="77777777" w:rsidR="00ED2BB2" w:rsidRDefault="00ED2BB2" w:rsidP="00ED2BB2">
      <w:pPr>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 xml:space="preserve">Art. 12 - Registrazione </w:t>
      </w:r>
    </w:p>
    <w:p w14:paraId="7BD45413" w14:textId="77777777" w:rsidR="00ED2BB2" w:rsidRDefault="00ED2BB2" w:rsidP="00ED2BB2">
      <w:pPr>
        <w:spacing w:after="0" w:line="240" w:lineRule="auto"/>
        <w:jc w:val="both"/>
        <w:rPr>
          <w:rFonts w:ascii="Times New Roman" w:hAnsi="Times New Roman" w:cs="Times New Roman"/>
          <w:b/>
          <w:bCs/>
          <w:sz w:val="18"/>
          <w:szCs w:val="18"/>
        </w:rPr>
      </w:pPr>
      <w:r>
        <w:rPr>
          <w:rFonts w:ascii="Times New Roman" w:eastAsia="NSimSun" w:hAnsi="Times New Roman" w:cs="Times New Roman"/>
          <w:sz w:val="18"/>
          <w:szCs w:val="18"/>
          <w:lang w:eastAsia="zh-CN" w:bidi="hi-IN"/>
        </w:rPr>
        <w:t>Il presente accordo, formato da 12 articoli numerati dall’uno al dodici, è soggetto a imposta di bollo e registrazione in caso d’uso a cura e a spese della parte richiedente, ai sensi degli artt. 5 e 39 del d.P.R. 131 del 26 aprile 1986, e viene sottoscritto in via telematica, con firma digitale, ai sensi dell’art.15, comma 2 bis, della legge 241/90 e s.m.i.</w:t>
      </w:r>
    </w:p>
    <w:p w14:paraId="1BAA4C8C" w14:textId="77777777" w:rsidR="00ED2BB2" w:rsidRDefault="00ED2BB2" w:rsidP="00ED2BB2">
      <w:pPr>
        <w:spacing w:after="0" w:line="240" w:lineRule="auto"/>
        <w:jc w:val="center"/>
        <w:rPr>
          <w:rFonts w:ascii="Times New Roman" w:eastAsia="NSimSun" w:hAnsi="Times New Roman" w:cs="Times New Roman"/>
          <w:sz w:val="18"/>
          <w:szCs w:val="18"/>
          <w:lang w:eastAsia="zh-CN" w:bidi="hi-IN"/>
        </w:rPr>
      </w:pPr>
    </w:p>
    <w:p w14:paraId="4B3F451F" w14:textId="10704646" w:rsidR="004C4B6A" w:rsidRPr="00ED736F" w:rsidRDefault="004C4B6A" w:rsidP="00ED2BB2">
      <w:pPr>
        <w:spacing w:after="0" w:line="240" w:lineRule="auto"/>
        <w:jc w:val="center"/>
        <w:rPr>
          <w:rFonts w:ascii="Times New Roman" w:eastAsia="NSimSun" w:hAnsi="Times New Roman" w:cs="Times New Roman"/>
          <w:sz w:val="19"/>
          <w:szCs w:val="19"/>
          <w:lang w:eastAsia="zh-CN" w:bidi="hi-IN"/>
        </w:rPr>
      </w:pPr>
    </w:p>
    <w:sectPr w:rsidR="004C4B6A" w:rsidRPr="00ED736F" w:rsidSect="00353800">
      <w:footerReference w:type="default" r:id="rId8"/>
      <w:pgSz w:w="11906" w:h="16838"/>
      <w:pgMar w:top="1276" w:right="1134" w:bottom="1560" w:left="1134" w:header="708" w:footer="2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4E13E0" w14:textId="77777777" w:rsidR="00CD3D3A" w:rsidRDefault="00CD3D3A" w:rsidP="001F2D12">
      <w:pPr>
        <w:spacing w:after="0" w:line="240" w:lineRule="auto"/>
      </w:pPr>
      <w:r>
        <w:separator/>
      </w:r>
    </w:p>
  </w:endnote>
  <w:endnote w:type="continuationSeparator" w:id="0">
    <w:p w14:paraId="5151C737" w14:textId="77777777" w:rsidR="00CD3D3A" w:rsidRDefault="00CD3D3A" w:rsidP="001F2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F15C03" w14:textId="4F0B5B9F" w:rsidR="001F2D12" w:rsidRDefault="001F2D12">
    <w:pPr>
      <w:pStyle w:val="Pidipagina"/>
      <w:jc w:val="right"/>
    </w:pPr>
  </w:p>
  <w:p w14:paraId="3FC0B0BB" w14:textId="77777777" w:rsidR="001F2D12" w:rsidRDefault="001F2D1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D9CFA0" w14:textId="77777777" w:rsidR="00CD3D3A" w:rsidRDefault="00CD3D3A" w:rsidP="001F2D12">
      <w:pPr>
        <w:spacing w:after="0" w:line="240" w:lineRule="auto"/>
      </w:pPr>
      <w:r>
        <w:separator/>
      </w:r>
    </w:p>
  </w:footnote>
  <w:footnote w:type="continuationSeparator" w:id="0">
    <w:p w14:paraId="2B460242" w14:textId="77777777" w:rsidR="00CD3D3A" w:rsidRDefault="00CD3D3A" w:rsidP="001F2D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F7F64"/>
    <w:multiLevelType w:val="hybridMultilevel"/>
    <w:tmpl w:val="035E79E0"/>
    <w:lvl w:ilvl="0" w:tplc="04100001">
      <w:start w:val="1"/>
      <w:numFmt w:val="bullet"/>
      <w:lvlText w:val=""/>
      <w:lvlJc w:val="left"/>
      <w:pPr>
        <w:ind w:left="1290" w:hanging="360"/>
      </w:pPr>
      <w:rPr>
        <w:rFonts w:ascii="Symbol" w:hAnsi="Symbol"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1" w15:restartNumberingAfterBreak="0">
    <w:nsid w:val="04235E42"/>
    <w:multiLevelType w:val="hybridMultilevel"/>
    <w:tmpl w:val="24AE8E10"/>
    <w:lvl w:ilvl="0" w:tplc="E6F4A0F4">
      <w:start w:val="1"/>
      <w:numFmt w:val="decimal"/>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2" w15:restartNumberingAfterBreak="0">
    <w:nsid w:val="04CF3A91"/>
    <w:multiLevelType w:val="hybridMultilevel"/>
    <w:tmpl w:val="FFE0F932"/>
    <w:lvl w:ilvl="0" w:tplc="04100001">
      <w:start w:val="1"/>
      <w:numFmt w:val="bullet"/>
      <w:lvlText w:val=""/>
      <w:lvlJc w:val="left"/>
      <w:pPr>
        <w:ind w:left="1290" w:hanging="360"/>
      </w:pPr>
      <w:rPr>
        <w:rFonts w:ascii="Symbol" w:hAnsi="Symbol"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3" w15:restartNumberingAfterBreak="0">
    <w:nsid w:val="04D044E2"/>
    <w:multiLevelType w:val="hybridMultilevel"/>
    <w:tmpl w:val="A926B25C"/>
    <w:lvl w:ilvl="0" w:tplc="04100001">
      <w:start w:val="1"/>
      <w:numFmt w:val="bullet"/>
      <w:lvlText w:val=""/>
      <w:lvlJc w:val="left"/>
      <w:pPr>
        <w:ind w:left="1290" w:hanging="360"/>
      </w:pPr>
      <w:rPr>
        <w:rFonts w:ascii="Symbol" w:hAnsi="Symbol"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4" w15:restartNumberingAfterBreak="0">
    <w:nsid w:val="059835A7"/>
    <w:multiLevelType w:val="hybridMultilevel"/>
    <w:tmpl w:val="2E0614DA"/>
    <w:lvl w:ilvl="0" w:tplc="10828C98">
      <w:start w:val="1"/>
      <w:numFmt w:val="bullet"/>
      <w:lvlText w:val=""/>
      <w:lvlJc w:val="left"/>
      <w:pPr>
        <w:ind w:left="1290" w:hanging="360"/>
      </w:pPr>
      <w:rPr>
        <w:rFonts w:ascii="Symbol" w:hAnsi="Symbol" w:hint="default"/>
        <w:w w:val="99"/>
        <w:sz w:val="24"/>
        <w:szCs w:val="20"/>
        <w:lang w:val="it-IT" w:eastAsia="en-US" w:bidi="ar-SA"/>
      </w:rPr>
    </w:lvl>
    <w:lvl w:ilvl="1" w:tplc="10828C98">
      <w:start w:val="1"/>
      <w:numFmt w:val="bullet"/>
      <w:lvlText w:val=""/>
      <w:lvlJc w:val="left"/>
      <w:pPr>
        <w:ind w:left="2010" w:hanging="360"/>
      </w:pPr>
      <w:rPr>
        <w:rFonts w:ascii="Symbol" w:hAnsi="Symbol" w:hint="default"/>
      </w:r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5" w15:restartNumberingAfterBreak="0">
    <w:nsid w:val="06DD72AB"/>
    <w:multiLevelType w:val="hybridMultilevel"/>
    <w:tmpl w:val="337C77D4"/>
    <w:lvl w:ilvl="0" w:tplc="EF868044">
      <w:start w:val="1"/>
      <w:numFmt w:val="lowerLetter"/>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8683C37"/>
    <w:multiLevelType w:val="hybridMultilevel"/>
    <w:tmpl w:val="93CC7CF6"/>
    <w:lvl w:ilvl="0" w:tplc="04100001">
      <w:start w:val="1"/>
      <w:numFmt w:val="bullet"/>
      <w:lvlText w:val=""/>
      <w:lvlJc w:val="left"/>
      <w:pPr>
        <w:ind w:left="1290" w:hanging="360"/>
      </w:pPr>
      <w:rPr>
        <w:rFonts w:ascii="Symbol" w:hAnsi="Symbol"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7" w15:restartNumberingAfterBreak="0">
    <w:nsid w:val="0F420946"/>
    <w:multiLevelType w:val="hybridMultilevel"/>
    <w:tmpl w:val="0868EB0E"/>
    <w:lvl w:ilvl="0" w:tplc="D1D68DA4">
      <w:start w:val="1"/>
      <w:numFmt w:val="lowerLetter"/>
      <w:lvlText w:val="%1)"/>
      <w:lvlJc w:val="left"/>
      <w:pPr>
        <w:ind w:left="720" w:hanging="360"/>
      </w:pPr>
      <w:rPr>
        <w:rFonts w:ascii="Cambria" w:hAnsi="Cambria" w:cs="Verdana" w:hint="default"/>
        <w:w w:val="99"/>
        <w:sz w:val="24"/>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88E26A9"/>
    <w:multiLevelType w:val="hybridMultilevel"/>
    <w:tmpl w:val="453093F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9" w15:restartNumberingAfterBreak="0">
    <w:nsid w:val="1AF73391"/>
    <w:multiLevelType w:val="hybridMultilevel"/>
    <w:tmpl w:val="0638FA20"/>
    <w:lvl w:ilvl="0" w:tplc="59B4B638">
      <w:start w:val="1"/>
      <w:numFmt w:val="lowerLetter"/>
      <w:lvlText w:val="%1)"/>
      <w:lvlJc w:val="left"/>
      <w:pPr>
        <w:ind w:left="720" w:hanging="360"/>
      </w:pPr>
      <w:rPr>
        <w:rFonts w:ascii="Arial" w:hAnsi="Arial" w:cs="Verdana" w:hint="default"/>
        <w:w w:val="99"/>
        <w:sz w:val="24"/>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60677D5"/>
    <w:multiLevelType w:val="hybridMultilevel"/>
    <w:tmpl w:val="20DE4F4E"/>
    <w:lvl w:ilvl="0" w:tplc="E98E98D4">
      <w:start w:val="1"/>
      <w:numFmt w:val="decimal"/>
      <w:lvlText w:val="%1)"/>
      <w:lvlJc w:val="left"/>
      <w:pPr>
        <w:ind w:left="360" w:hanging="360"/>
      </w:pPr>
      <w:rPr>
        <w:rFonts w:cs="Times New Roman" w:hint="default"/>
        <w:sz w:val="20"/>
        <w:szCs w:val="2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B3A13BC"/>
    <w:multiLevelType w:val="hybridMultilevel"/>
    <w:tmpl w:val="DF80E44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17F105C"/>
    <w:multiLevelType w:val="hybridMultilevel"/>
    <w:tmpl w:val="7F3EEBA4"/>
    <w:lvl w:ilvl="0" w:tplc="04100001">
      <w:start w:val="1"/>
      <w:numFmt w:val="bullet"/>
      <w:lvlText w:val=""/>
      <w:lvlJc w:val="left"/>
      <w:pPr>
        <w:ind w:left="1290" w:hanging="360"/>
      </w:pPr>
      <w:rPr>
        <w:rFonts w:ascii="Symbol" w:hAnsi="Symbol"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13" w15:restartNumberingAfterBreak="0">
    <w:nsid w:val="34781E0B"/>
    <w:multiLevelType w:val="hybridMultilevel"/>
    <w:tmpl w:val="A984ACD4"/>
    <w:lvl w:ilvl="0" w:tplc="10828C98">
      <w:start w:val="1"/>
      <w:numFmt w:val="bullet"/>
      <w:lvlText w:val=""/>
      <w:lvlJc w:val="left"/>
      <w:pPr>
        <w:ind w:left="2070" w:hanging="360"/>
      </w:pPr>
      <w:rPr>
        <w:rFonts w:ascii="Symbol" w:hAnsi="Symbol" w:hint="default"/>
      </w:rPr>
    </w:lvl>
    <w:lvl w:ilvl="1" w:tplc="04100003" w:tentative="1">
      <w:start w:val="1"/>
      <w:numFmt w:val="bullet"/>
      <w:lvlText w:val="o"/>
      <w:lvlJc w:val="left"/>
      <w:pPr>
        <w:ind w:left="2790" w:hanging="360"/>
      </w:pPr>
      <w:rPr>
        <w:rFonts w:ascii="Courier New" w:hAnsi="Courier New" w:cs="Courier New" w:hint="default"/>
      </w:rPr>
    </w:lvl>
    <w:lvl w:ilvl="2" w:tplc="04100005" w:tentative="1">
      <w:start w:val="1"/>
      <w:numFmt w:val="bullet"/>
      <w:lvlText w:val=""/>
      <w:lvlJc w:val="left"/>
      <w:pPr>
        <w:ind w:left="3510" w:hanging="360"/>
      </w:pPr>
      <w:rPr>
        <w:rFonts w:ascii="Wingdings" w:hAnsi="Wingdings" w:hint="default"/>
      </w:rPr>
    </w:lvl>
    <w:lvl w:ilvl="3" w:tplc="04100001" w:tentative="1">
      <w:start w:val="1"/>
      <w:numFmt w:val="bullet"/>
      <w:lvlText w:val=""/>
      <w:lvlJc w:val="left"/>
      <w:pPr>
        <w:ind w:left="4230" w:hanging="360"/>
      </w:pPr>
      <w:rPr>
        <w:rFonts w:ascii="Symbol" w:hAnsi="Symbol" w:hint="default"/>
      </w:rPr>
    </w:lvl>
    <w:lvl w:ilvl="4" w:tplc="04100003" w:tentative="1">
      <w:start w:val="1"/>
      <w:numFmt w:val="bullet"/>
      <w:lvlText w:val="o"/>
      <w:lvlJc w:val="left"/>
      <w:pPr>
        <w:ind w:left="4950" w:hanging="360"/>
      </w:pPr>
      <w:rPr>
        <w:rFonts w:ascii="Courier New" w:hAnsi="Courier New" w:cs="Courier New" w:hint="default"/>
      </w:rPr>
    </w:lvl>
    <w:lvl w:ilvl="5" w:tplc="04100005" w:tentative="1">
      <w:start w:val="1"/>
      <w:numFmt w:val="bullet"/>
      <w:lvlText w:val=""/>
      <w:lvlJc w:val="left"/>
      <w:pPr>
        <w:ind w:left="5670" w:hanging="360"/>
      </w:pPr>
      <w:rPr>
        <w:rFonts w:ascii="Wingdings" w:hAnsi="Wingdings" w:hint="default"/>
      </w:rPr>
    </w:lvl>
    <w:lvl w:ilvl="6" w:tplc="04100001" w:tentative="1">
      <w:start w:val="1"/>
      <w:numFmt w:val="bullet"/>
      <w:lvlText w:val=""/>
      <w:lvlJc w:val="left"/>
      <w:pPr>
        <w:ind w:left="6390" w:hanging="360"/>
      </w:pPr>
      <w:rPr>
        <w:rFonts w:ascii="Symbol" w:hAnsi="Symbol" w:hint="default"/>
      </w:rPr>
    </w:lvl>
    <w:lvl w:ilvl="7" w:tplc="04100003" w:tentative="1">
      <w:start w:val="1"/>
      <w:numFmt w:val="bullet"/>
      <w:lvlText w:val="o"/>
      <w:lvlJc w:val="left"/>
      <w:pPr>
        <w:ind w:left="7110" w:hanging="360"/>
      </w:pPr>
      <w:rPr>
        <w:rFonts w:ascii="Courier New" w:hAnsi="Courier New" w:cs="Courier New" w:hint="default"/>
      </w:rPr>
    </w:lvl>
    <w:lvl w:ilvl="8" w:tplc="04100005" w:tentative="1">
      <w:start w:val="1"/>
      <w:numFmt w:val="bullet"/>
      <w:lvlText w:val=""/>
      <w:lvlJc w:val="left"/>
      <w:pPr>
        <w:ind w:left="7830" w:hanging="360"/>
      </w:pPr>
      <w:rPr>
        <w:rFonts w:ascii="Wingdings" w:hAnsi="Wingdings" w:hint="default"/>
      </w:rPr>
    </w:lvl>
  </w:abstractNum>
  <w:abstractNum w:abstractNumId="14" w15:restartNumberingAfterBreak="0">
    <w:nsid w:val="389604AE"/>
    <w:multiLevelType w:val="hybridMultilevel"/>
    <w:tmpl w:val="86EA58C4"/>
    <w:lvl w:ilvl="0" w:tplc="04100017">
      <w:start w:val="1"/>
      <w:numFmt w:val="lowerLetter"/>
      <w:lvlText w:val="%1)"/>
      <w:lvlJc w:val="left"/>
      <w:pPr>
        <w:ind w:left="720" w:hanging="360"/>
      </w:pPr>
      <w:rPr>
        <w:rFonts w:hint="default"/>
        <w:w w:val="99"/>
        <w:sz w:val="24"/>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14F2AE3"/>
    <w:multiLevelType w:val="hybridMultilevel"/>
    <w:tmpl w:val="E8D85C8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99C1C6D"/>
    <w:multiLevelType w:val="hybridMultilevel"/>
    <w:tmpl w:val="4DC02640"/>
    <w:lvl w:ilvl="0" w:tplc="D1D68DA4">
      <w:start w:val="1"/>
      <w:numFmt w:val="lowerLetter"/>
      <w:lvlText w:val="%1)"/>
      <w:lvlJc w:val="left"/>
      <w:pPr>
        <w:ind w:left="720" w:hanging="360"/>
      </w:pPr>
      <w:rPr>
        <w:rFonts w:ascii="Cambria" w:hAnsi="Cambria" w:cs="Verdana" w:hint="default"/>
        <w:w w:val="99"/>
        <w:sz w:val="24"/>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B541D28"/>
    <w:multiLevelType w:val="hybridMultilevel"/>
    <w:tmpl w:val="450AE9CE"/>
    <w:lvl w:ilvl="0" w:tplc="D1D68DA4">
      <w:start w:val="1"/>
      <w:numFmt w:val="lowerLetter"/>
      <w:lvlText w:val="%1)"/>
      <w:lvlJc w:val="left"/>
      <w:pPr>
        <w:ind w:left="1290" w:hanging="360"/>
      </w:pPr>
      <w:rPr>
        <w:rFonts w:ascii="Cambria" w:hAnsi="Cambria" w:cs="Verdana"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18" w15:restartNumberingAfterBreak="0">
    <w:nsid w:val="52BE07D9"/>
    <w:multiLevelType w:val="hybridMultilevel"/>
    <w:tmpl w:val="B756E20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38716AC"/>
    <w:multiLevelType w:val="hybridMultilevel"/>
    <w:tmpl w:val="EEDC01C4"/>
    <w:lvl w:ilvl="0" w:tplc="4080FF46">
      <w:start w:val="1"/>
      <w:numFmt w:val="decimal"/>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5AE447B"/>
    <w:multiLevelType w:val="hybridMultilevel"/>
    <w:tmpl w:val="9D0C4552"/>
    <w:lvl w:ilvl="0" w:tplc="BA9ED1C6">
      <w:start w:val="1"/>
      <w:numFmt w:val="decimal"/>
      <w:lvlText w:val="%1."/>
      <w:lvlJc w:val="left"/>
      <w:pPr>
        <w:ind w:left="644" w:hanging="360"/>
      </w:pPr>
      <w:rPr>
        <w:rFonts w:ascii="Times New Roman" w:eastAsia="Calibri" w:hAnsi="Times New Roman" w:cs="Times New Roman"/>
        <w:b/>
        <w:sz w:val="18"/>
        <w:szCs w:val="18"/>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1" w15:restartNumberingAfterBreak="0">
    <w:nsid w:val="5CD81CF3"/>
    <w:multiLevelType w:val="hybridMultilevel"/>
    <w:tmpl w:val="D7821FC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E4E0F30"/>
    <w:multiLevelType w:val="hybridMultilevel"/>
    <w:tmpl w:val="23A4A0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ED85E94"/>
    <w:multiLevelType w:val="hybridMultilevel"/>
    <w:tmpl w:val="1B4204A2"/>
    <w:lvl w:ilvl="0" w:tplc="10828C98">
      <w:start w:val="1"/>
      <w:numFmt w:val="bullet"/>
      <w:lvlText w:val=""/>
      <w:lvlJc w:val="left"/>
      <w:pPr>
        <w:ind w:left="720" w:hanging="360"/>
      </w:pPr>
      <w:rPr>
        <w:rFonts w:ascii="Symbol" w:hAnsi="Symbol" w:hint="default"/>
        <w:w w:val="99"/>
        <w:sz w:val="24"/>
        <w:szCs w:val="20"/>
        <w:lang w:val="it-IT" w:eastAsia="en-US" w:bidi="ar-SA"/>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39D5D2B"/>
    <w:multiLevelType w:val="hybridMultilevel"/>
    <w:tmpl w:val="450AE9CE"/>
    <w:lvl w:ilvl="0" w:tplc="D1D68DA4">
      <w:start w:val="1"/>
      <w:numFmt w:val="lowerLetter"/>
      <w:lvlText w:val="%1)"/>
      <w:lvlJc w:val="left"/>
      <w:pPr>
        <w:ind w:left="1290" w:hanging="360"/>
      </w:pPr>
      <w:rPr>
        <w:rFonts w:ascii="Cambria" w:hAnsi="Cambria" w:cs="Verdana"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25" w15:restartNumberingAfterBreak="0">
    <w:nsid w:val="6BB7146D"/>
    <w:multiLevelType w:val="hybridMultilevel"/>
    <w:tmpl w:val="A27E33A8"/>
    <w:lvl w:ilvl="0" w:tplc="04100001">
      <w:start w:val="1"/>
      <w:numFmt w:val="bullet"/>
      <w:lvlText w:val=""/>
      <w:lvlJc w:val="left"/>
      <w:pPr>
        <w:ind w:left="1290" w:hanging="360"/>
      </w:pPr>
      <w:rPr>
        <w:rFonts w:ascii="Symbol" w:hAnsi="Symbol"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26" w15:restartNumberingAfterBreak="0">
    <w:nsid w:val="6C3D3B25"/>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DCA318C"/>
    <w:multiLevelType w:val="hybridMultilevel"/>
    <w:tmpl w:val="EB70E1A6"/>
    <w:lvl w:ilvl="0" w:tplc="04100001">
      <w:start w:val="1"/>
      <w:numFmt w:val="bullet"/>
      <w:lvlText w:val=""/>
      <w:lvlJc w:val="left"/>
      <w:pPr>
        <w:ind w:left="1290" w:hanging="360"/>
      </w:pPr>
      <w:rPr>
        <w:rFonts w:ascii="Symbol" w:hAnsi="Symbol"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28" w15:restartNumberingAfterBreak="0">
    <w:nsid w:val="7011088F"/>
    <w:multiLevelType w:val="hybridMultilevel"/>
    <w:tmpl w:val="3F0AC4D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2DC3064"/>
    <w:multiLevelType w:val="hybridMultilevel"/>
    <w:tmpl w:val="3362C402"/>
    <w:lvl w:ilvl="0" w:tplc="10828C98">
      <w:start w:val="1"/>
      <w:numFmt w:val="bullet"/>
      <w:lvlText w:val=""/>
      <w:lvlJc w:val="left"/>
      <w:pPr>
        <w:ind w:left="1650" w:hanging="360"/>
      </w:pPr>
      <w:rPr>
        <w:rFonts w:ascii="Symbol" w:hAnsi="Symbol" w:hint="default"/>
        <w:w w:val="99"/>
        <w:sz w:val="24"/>
        <w:szCs w:val="20"/>
        <w:lang w:val="it-IT" w:eastAsia="en-US" w:bidi="ar-SA"/>
      </w:rPr>
    </w:lvl>
    <w:lvl w:ilvl="1" w:tplc="0410000D">
      <w:start w:val="1"/>
      <w:numFmt w:val="bullet"/>
      <w:lvlText w:val=""/>
      <w:lvlJc w:val="left"/>
      <w:pPr>
        <w:ind w:left="2370" w:hanging="360"/>
      </w:pPr>
      <w:rPr>
        <w:rFonts w:ascii="Wingdings" w:hAnsi="Wingdings" w:hint="default"/>
      </w:rPr>
    </w:lvl>
    <w:lvl w:ilvl="2" w:tplc="0410001B" w:tentative="1">
      <w:start w:val="1"/>
      <w:numFmt w:val="lowerRoman"/>
      <w:lvlText w:val="%3."/>
      <w:lvlJc w:val="right"/>
      <w:pPr>
        <w:ind w:left="3090" w:hanging="180"/>
      </w:pPr>
    </w:lvl>
    <w:lvl w:ilvl="3" w:tplc="0410000F" w:tentative="1">
      <w:start w:val="1"/>
      <w:numFmt w:val="decimal"/>
      <w:lvlText w:val="%4."/>
      <w:lvlJc w:val="left"/>
      <w:pPr>
        <w:ind w:left="3810" w:hanging="360"/>
      </w:pPr>
    </w:lvl>
    <w:lvl w:ilvl="4" w:tplc="04100019" w:tentative="1">
      <w:start w:val="1"/>
      <w:numFmt w:val="lowerLetter"/>
      <w:lvlText w:val="%5."/>
      <w:lvlJc w:val="left"/>
      <w:pPr>
        <w:ind w:left="4530" w:hanging="360"/>
      </w:pPr>
    </w:lvl>
    <w:lvl w:ilvl="5" w:tplc="0410001B" w:tentative="1">
      <w:start w:val="1"/>
      <w:numFmt w:val="lowerRoman"/>
      <w:lvlText w:val="%6."/>
      <w:lvlJc w:val="right"/>
      <w:pPr>
        <w:ind w:left="5250" w:hanging="180"/>
      </w:pPr>
    </w:lvl>
    <w:lvl w:ilvl="6" w:tplc="0410000F" w:tentative="1">
      <w:start w:val="1"/>
      <w:numFmt w:val="decimal"/>
      <w:lvlText w:val="%7."/>
      <w:lvlJc w:val="left"/>
      <w:pPr>
        <w:ind w:left="5970" w:hanging="360"/>
      </w:pPr>
    </w:lvl>
    <w:lvl w:ilvl="7" w:tplc="04100019" w:tentative="1">
      <w:start w:val="1"/>
      <w:numFmt w:val="lowerLetter"/>
      <w:lvlText w:val="%8."/>
      <w:lvlJc w:val="left"/>
      <w:pPr>
        <w:ind w:left="6690" w:hanging="360"/>
      </w:pPr>
    </w:lvl>
    <w:lvl w:ilvl="8" w:tplc="0410001B" w:tentative="1">
      <w:start w:val="1"/>
      <w:numFmt w:val="lowerRoman"/>
      <w:lvlText w:val="%9."/>
      <w:lvlJc w:val="right"/>
      <w:pPr>
        <w:ind w:left="7410" w:hanging="180"/>
      </w:pPr>
    </w:lvl>
  </w:abstractNum>
  <w:abstractNum w:abstractNumId="30" w15:restartNumberingAfterBreak="0">
    <w:nsid w:val="7426160C"/>
    <w:multiLevelType w:val="hybridMultilevel"/>
    <w:tmpl w:val="F3407B48"/>
    <w:lvl w:ilvl="0" w:tplc="10828C9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5EE764C"/>
    <w:multiLevelType w:val="hybridMultilevel"/>
    <w:tmpl w:val="A3B87906"/>
    <w:lvl w:ilvl="0" w:tplc="3BD6D33E">
      <w:start w:val="1"/>
      <w:numFmt w:val="decimal"/>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79D94651"/>
    <w:multiLevelType w:val="hybridMultilevel"/>
    <w:tmpl w:val="5A4EE6A8"/>
    <w:lvl w:ilvl="0" w:tplc="10828C98">
      <w:start w:val="1"/>
      <w:numFmt w:val="bullet"/>
      <w:lvlText w:val=""/>
      <w:lvlJc w:val="left"/>
      <w:pPr>
        <w:ind w:left="7732"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DEF1467"/>
    <w:multiLevelType w:val="hybridMultilevel"/>
    <w:tmpl w:val="F4C85154"/>
    <w:lvl w:ilvl="0" w:tplc="0410000D">
      <w:start w:val="1"/>
      <w:numFmt w:val="bullet"/>
      <w:lvlText w:val=""/>
      <w:lvlJc w:val="left"/>
      <w:pPr>
        <w:ind w:left="1650" w:hanging="360"/>
      </w:pPr>
      <w:rPr>
        <w:rFonts w:ascii="Wingdings" w:hAnsi="Wingdings" w:hint="default"/>
        <w:w w:val="99"/>
        <w:sz w:val="24"/>
        <w:szCs w:val="20"/>
        <w:lang w:val="it-IT" w:eastAsia="en-US" w:bidi="ar-SA"/>
      </w:rPr>
    </w:lvl>
    <w:lvl w:ilvl="1" w:tplc="0410000D">
      <w:start w:val="1"/>
      <w:numFmt w:val="bullet"/>
      <w:lvlText w:val=""/>
      <w:lvlJc w:val="left"/>
      <w:pPr>
        <w:ind w:left="2370" w:hanging="360"/>
      </w:pPr>
      <w:rPr>
        <w:rFonts w:ascii="Wingdings" w:hAnsi="Wingdings" w:hint="default"/>
      </w:rPr>
    </w:lvl>
    <w:lvl w:ilvl="2" w:tplc="0410001B" w:tentative="1">
      <w:start w:val="1"/>
      <w:numFmt w:val="lowerRoman"/>
      <w:lvlText w:val="%3."/>
      <w:lvlJc w:val="right"/>
      <w:pPr>
        <w:ind w:left="3090" w:hanging="180"/>
      </w:pPr>
    </w:lvl>
    <w:lvl w:ilvl="3" w:tplc="0410000F" w:tentative="1">
      <w:start w:val="1"/>
      <w:numFmt w:val="decimal"/>
      <w:lvlText w:val="%4."/>
      <w:lvlJc w:val="left"/>
      <w:pPr>
        <w:ind w:left="3810" w:hanging="360"/>
      </w:pPr>
    </w:lvl>
    <w:lvl w:ilvl="4" w:tplc="04100019" w:tentative="1">
      <w:start w:val="1"/>
      <w:numFmt w:val="lowerLetter"/>
      <w:lvlText w:val="%5."/>
      <w:lvlJc w:val="left"/>
      <w:pPr>
        <w:ind w:left="4530" w:hanging="360"/>
      </w:pPr>
    </w:lvl>
    <w:lvl w:ilvl="5" w:tplc="0410001B" w:tentative="1">
      <w:start w:val="1"/>
      <w:numFmt w:val="lowerRoman"/>
      <w:lvlText w:val="%6."/>
      <w:lvlJc w:val="right"/>
      <w:pPr>
        <w:ind w:left="5250" w:hanging="180"/>
      </w:pPr>
    </w:lvl>
    <w:lvl w:ilvl="6" w:tplc="0410000F" w:tentative="1">
      <w:start w:val="1"/>
      <w:numFmt w:val="decimal"/>
      <w:lvlText w:val="%7."/>
      <w:lvlJc w:val="left"/>
      <w:pPr>
        <w:ind w:left="5970" w:hanging="360"/>
      </w:pPr>
    </w:lvl>
    <w:lvl w:ilvl="7" w:tplc="04100019" w:tentative="1">
      <w:start w:val="1"/>
      <w:numFmt w:val="lowerLetter"/>
      <w:lvlText w:val="%8."/>
      <w:lvlJc w:val="left"/>
      <w:pPr>
        <w:ind w:left="6690" w:hanging="360"/>
      </w:pPr>
    </w:lvl>
    <w:lvl w:ilvl="8" w:tplc="0410001B" w:tentative="1">
      <w:start w:val="1"/>
      <w:numFmt w:val="lowerRoman"/>
      <w:lvlText w:val="%9."/>
      <w:lvlJc w:val="right"/>
      <w:pPr>
        <w:ind w:left="7410" w:hanging="180"/>
      </w:pPr>
    </w:lvl>
  </w:abstractNum>
  <w:num w:numId="1" w16cid:durableId="1635981105">
    <w:abstractNumId w:val="11"/>
  </w:num>
  <w:num w:numId="2" w16cid:durableId="1892231903">
    <w:abstractNumId w:val="17"/>
  </w:num>
  <w:num w:numId="3" w16cid:durableId="2062945003">
    <w:abstractNumId w:val="13"/>
  </w:num>
  <w:num w:numId="4" w16cid:durableId="532232025">
    <w:abstractNumId w:val="24"/>
  </w:num>
  <w:num w:numId="5" w16cid:durableId="218588346">
    <w:abstractNumId w:val="6"/>
  </w:num>
  <w:num w:numId="6" w16cid:durableId="692851657">
    <w:abstractNumId w:val="12"/>
  </w:num>
  <w:num w:numId="7" w16cid:durableId="1329400381">
    <w:abstractNumId w:val="0"/>
  </w:num>
  <w:num w:numId="8" w16cid:durableId="1424915654">
    <w:abstractNumId w:val="27"/>
  </w:num>
  <w:num w:numId="9" w16cid:durableId="1095980883">
    <w:abstractNumId w:val="2"/>
  </w:num>
  <w:num w:numId="10" w16cid:durableId="332340157">
    <w:abstractNumId w:val="25"/>
  </w:num>
  <w:num w:numId="11" w16cid:durableId="1079597041">
    <w:abstractNumId w:val="3"/>
  </w:num>
  <w:num w:numId="12" w16cid:durableId="887183507">
    <w:abstractNumId w:val="16"/>
  </w:num>
  <w:num w:numId="13" w16cid:durableId="1070083989">
    <w:abstractNumId w:val="18"/>
  </w:num>
  <w:num w:numId="14" w16cid:durableId="1454863777">
    <w:abstractNumId w:val="15"/>
  </w:num>
  <w:num w:numId="15" w16cid:durableId="1112282949">
    <w:abstractNumId w:val="22"/>
  </w:num>
  <w:num w:numId="16" w16cid:durableId="1247496357">
    <w:abstractNumId w:val="7"/>
  </w:num>
  <w:num w:numId="17" w16cid:durableId="1428455387">
    <w:abstractNumId w:val="23"/>
  </w:num>
  <w:num w:numId="18" w16cid:durableId="927613118">
    <w:abstractNumId w:val="4"/>
  </w:num>
  <w:num w:numId="19" w16cid:durableId="1660110824">
    <w:abstractNumId w:val="29"/>
  </w:num>
  <w:num w:numId="20" w16cid:durableId="1123772010">
    <w:abstractNumId w:val="33"/>
  </w:num>
  <w:num w:numId="21" w16cid:durableId="1975134851">
    <w:abstractNumId w:val="19"/>
  </w:num>
  <w:num w:numId="22" w16cid:durableId="391345829">
    <w:abstractNumId w:val="31"/>
  </w:num>
  <w:num w:numId="23" w16cid:durableId="1929145690">
    <w:abstractNumId w:val="26"/>
  </w:num>
  <w:num w:numId="24" w16cid:durableId="1405374089">
    <w:abstractNumId w:val="9"/>
  </w:num>
  <w:num w:numId="25" w16cid:durableId="1775632777">
    <w:abstractNumId w:val="5"/>
  </w:num>
  <w:num w:numId="26" w16cid:durableId="347753842">
    <w:abstractNumId w:val="14"/>
  </w:num>
  <w:num w:numId="27" w16cid:durableId="894777183">
    <w:abstractNumId w:val="32"/>
  </w:num>
  <w:num w:numId="28" w16cid:durableId="1602028076">
    <w:abstractNumId w:val="30"/>
  </w:num>
  <w:num w:numId="29" w16cid:durableId="1065643748">
    <w:abstractNumId w:val="1"/>
  </w:num>
  <w:num w:numId="30" w16cid:durableId="1179084363">
    <w:abstractNumId w:val="10"/>
  </w:num>
  <w:num w:numId="31" w16cid:durableId="309291549">
    <w:abstractNumId w:val="28"/>
  </w:num>
  <w:num w:numId="32" w16cid:durableId="780803623">
    <w:abstractNumId w:val="21"/>
  </w:num>
  <w:num w:numId="33" w16cid:durableId="1196845130">
    <w:abstractNumId w:val="20"/>
  </w:num>
  <w:num w:numId="34" w16cid:durableId="1608269061">
    <w:abstractNumId w:val="32"/>
  </w:num>
  <w:num w:numId="35" w16cid:durableId="123570618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90021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506322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642644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7089216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efaultTabStop w:val="708"/>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3E6"/>
    <w:rsid w:val="00001D87"/>
    <w:rsid w:val="00003721"/>
    <w:rsid w:val="00004218"/>
    <w:rsid w:val="00007791"/>
    <w:rsid w:val="00007CD1"/>
    <w:rsid w:val="00013F45"/>
    <w:rsid w:val="00014820"/>
    <w:rsid w:val="00015755"/>
    <w:rsid w:val="0001650D"/>
    <w:rsid w:val="00033A5F"/>
    <w:rsid w:val="00035398"/>
    <w:rsid w:val="00054FC9"/>
    <w:rsid w:val="00065BDA"/>
    <w:rsid w:val="00073E38"/>
    <w:rsid w:val="0008627B"/>
    <w:rsid w:val="00086324"/>
    <w:rsid w:val="00096197"/>
    <w:rsid w:val="000A004F"/>
    <w:rsid w:val="000A22C3"/>
    <w:rsid w:val="000A6D94"/>
    <w:rsid w:val="000A6ED0"/>
    <w:rsid w:val="000A76B6"/>
    <w:rsid w:val="000B182A"/>
    <w:rsid w:val="000B6F07"/>
    <w:rsid w:val="000C31E1"/>
    <w:rsid w:val="000C50D4"/>
    <w:rsid w:val="000C55D0"/>
    <w:rsid w:val="000D5A9B"/>
    <w:rsid w:val="000E11CF"/>
    <w:rsid w:val="00102C0B"/>
    <w:rsid w:val="001049D8"/>
    <w:rsid w:val="00106933"/>
    <w:rsid w:val="00107164"/>
    <w:rsid w:val="00115EE0"/>
    <w:rsid w:val="00143EBB"/>
    <w:rsid w:val="00153614"/>
    <w:rsid w:val="00181CC1"/>
    <w:rsid w:val="001878B2"/>
    <w:rsid w:val="001900C9"/>
    <w:rsid w:val="00192C6B"/>
    <w:rsid w:val="001A50FE"/>
    <w:rsid w:val="001B0FB6"/>
    <w:rsid w:val="001B76A4"/>
    <w:rsid w:val="001E25F7"/>
    <w:rsid w:val="001F1746"/>
    <w:rsid w:val="001F1CAB"/>
    <w:rsid w:val="001F2D12"/>
    <w:rsid w:val="00206AE0"/>
    <w:rsid w:val="002110A7"/>
    <w:rsid w:val="002116FE"/>
    <w:rsid w:val="00216712"/>
    <w:rsid w:val="002305E5"/>
    <w:rsid w:val="002346E8"/>
    <w:rsid w:val="00240307"/>
    <w:rsid w:val="002450A8"/>
    <w:rsid w:val="00247813"/>
    <w:rsid w:val="0025341D"/>
    <w:rsid w:val="00286F15"/>
    <w:rsid w:val="002A03E6"/>
    <w:rsid w:val="002A6688"/>
    <w:rsid w:val="002A75D6"/>
    <w:rsid w:val="002B2512"/>
    <w:rsid w:val="002D16C8"/>
    <w:rsid w:val="002D3FD7"/>
    <w:rsid w:val="002D683D"/>
    <w:rsid w:val="0030297C"/>
    <w:rsid w:val="00302B3E"/>
    <w:rsid w:val="00316EB0"/>
    <w:rsid w:val="00323ECD"/>
    <w:rsid w:val="00324365"/>
    <w:rsid w:val="00331BE2"/>
    <w:rsid w:val="00335497"/>
    <w:rsid w:val="00343B80"/>
    <w:rsid w:val="00353800"/>
    <w:rsid w:val="003626A8"/>
    <w:rsid w:val="00374AD0"/>
    <w:rsid w:val="003941FD"/>
    <w:rsid w:val="003A3E3A"/>
    <w:rsid w:val="003B3455"/>
    <w:rsid w:val="003B537B"/>
    <w:rsid w:val="003C0D54"/>
    <w:rsid w:val="003D6776"/>
    <w:rsid w:val="003D6B27"/>
    <w:rsid w:val="003E5ECE"/>
    <w:rsid w:val="003E61B6"/>
    <w:rsid w:val="003E7239"/>
    <w:rsid w:val="004222C0"/>
    <w:rsid w:val="004278E2"/>
    <w:rsid w:val="00432590"/>
    <w:rsid w:val="00451D25"/>
    <w:rsid w:val="00463896"/>
    <w:rsid w:val="004701C3"/>
    <w:rsid w:val="0047166C"/>
    <w:rsid w:val="00471DAD"/>
    <w:rsid w:val="00472B1A"/>
    <w:rsid w:val="00487B32"/>
    <w:rsid w:val="00487BA0"/>
    <w:rsid w:val="00492EAC"/>
    <w:rsid w:val="004A0FBF"/>
    <w:rsid w:val="004A247A"/>
    <w:rsid w:val="004B133B"/>
    <w:rsid w:val="004B40D1"/>
    <w:rsid w:val="004B77EC"/>
    <w:rsid w:val="004C00F6"/>
    <w:rsid w:val="004C259A"/>
    <w:rsid w:val="004C4B6A"/>
    <w:rsid w:val="004C6231"/>
    <w:rsid w:val="004D7965"/>
    <w:rsid w:val="00505140"/>
    <w:rsid w:val="00506513"/>
    <w:rsid w:val="005142AB"/>
    <w:rsid w:val="0052298C"/>
    <w:rsid w:val="0053147A"/>
    <w:rsid w:val="0053362F"/>
    <w:rsid w:val="0053668F"/>
    <w:rsid w:val="00537C8A"/>
    <w:rsid w:val="0054441E"/>
    <w:rsid w:val="00552D1A"/>
    <w:rsid w:val="005706CA"/>
    <w:rsid w:val="00581F79"/>
    <w:rsid w:val="005979AD"/>
    <w:rsid w:val="005A6D17"/>
    <w:rsid w:val="005B7F91"/>
    <w:rsid w:val="005C1D08"/>
    <w:rsid w:val="005C6194"/>
    <w:rsid w:val="005D02D7"/>
    <w:rsid w:val="005D5449"/>
    <w:rsid w:val="005E7742"/>
    <w:rsid w:val="005F2C73"/>
    <w:rsid w:val="005F4E13"/>
    <w:rsid w:val="005F58B0"/>
    <w:rsid w:val="00601EDA"/>
    <w:rsid w:val="00631538"/>
    <w:rsid w:val="00654733"/>
    <w:rsid w:val="006572C3"/>
    <w:rsid w:val="00672A83"/>
    <w:rsid w:val="006743DF"/>
    <w:rsid w:val="0067513B"/>
    <w:rsid w:val="006953F0"/>
    <w:rsid w:val="006A4718"/>
    <w:rsid w:val="006B438E"/>
    <w:rsid w:val="006C436D"/>
    <w:rsid w:val="006D7C61"/>
    <w:rsid w:val="006E4028"/>
    <w:rsid w:val="007254E6"/>
    <w:rsid w:val="00727064"/>
    <w:rsid w:val="007501A4"/>
    <w:rsid w:val="007516F0"/>
    <w:rsid w:val="007523D0"/>
    <w:rsid w:val="00756FAC"/>
    <w:rsid w:val="00773CBE"/>
    <w:rsid w:val="00774DD3"/>
    <w:rsid w:val="00776072"/>
    <w:rsid w:val="00786461"/>
    <w:rsid w:val="00790FB3"/>
    <w:rsid w:val="00793731"/>
    <w:rsid w:val="007C7287"/>
    <w:rsid w:val="007D1BCF"/>
    <w:rsid w:val="007E0DD7"/>
    <w:rsid w:val="007F1D88"/>
    <w:rsid w:val="007F4591"/>
    <w:rsid w:val="007F7B1B"/>
    <w:rsid w:val="00800A42"/>
    <w:rsid w:val="00803D8C"/>
    <w:rsid w:val="00821672"/>
    <w:rsid w:val="008219D9"/>
    <w:rsid w:val="008273D7"/>
    <w:rsid w:val="008368A3"/>
    <w:rsid w:val="00842810"/>
    <w:rsid w:val="008434B6"/>
    <w:rsid w:val="008434FF"/>
    <w:rsid w:val="0086048F"/>
    <w:rsid w:val="0087067D"/>
    <w:rsid w:val="008908DD"/>
    <w:rsid w:val="0089717D"/>
    <w:rsid w:val="008A45E7"/>
    <w:rsid w:val="008A5840"/>
    <w:rsid w:val="008B6EA5"/>
    <w:rsid w:val="008C3D96"/>
    <w:rsid w:val="008C6560"/>
    <w:rsid w:val="008C7E1D"/>
    <w:rsid w:val="008E74F1"/>
    <w:rsid w:val="008F7032"/>
    <w:rsid w:val="009073FF"/>
    <w:rsid w:val="009108D1"/>
    <w:rsid w:val="00915A33"/>
    <w:rsid w:val="00921571"/>
    <w:rsid w:val="00922EEF"/>
    <w:rsid w:val="00922F6C"/>
    <w:rsid w:val="009465B0"/>
    <w:rsid w:val="009511D8"/>
    <w:rsid w:val="00956099"/>
    <w:rsid w:val="0095694E"/>
    <w:rsid w:val="0096629C"/>
    <w:rsid w:val="00974E85"/>
    <w:rsid w:val="00980444"/>
    <w:rsid w:val="009A7119"/>
    <w:rsid w:val="009C4E93"/>
    <w:rsid w:val="009D661B"/>
    <w:rsid w:val="009E144A"/>
    <w:rsid w:val="009F0346"/>
    <w:rsid w:val="00A036B7"/>
    <w:rsid w:val="00A060D0"/>
    <w:rsid w:val="00A14A0E"/>
    <w:rsid w:val="00A17008"/>
    <w:rsid w:val="00A21F6C"/>
    <w:rsid w:val="00A30760"/>
    <w:rsid w:val="00A322AF"/>
    <w:rsid w:val="00A3764E"/>
    <w:rsid w:val="00A407C9"/>
    <w:rsid w:val="00A42857"/>
    <w:rsid w:val="00A4410D"/>
    <w:rsid w:val="00A469D7"/>
    <w:rsid w:val="00A76999"/>
    <w:rsid w:val="00A8667B"/>
    <w:rsid w:val="00A8700C"/>
    <w:rsid w:val="00AA6382"/>
    <w:rsid w:val="00AC10D7"/>
    <w:rsid w:val="00AE21F1"/>
    <w:rsid w:val="00B034AD"/>
    <w:rsid w:val="00B05E32"/>
    <w:rsid w:val="00B12D6B"/>
    <w:rsid w:val="00B26398"/>
    <w:rsid w:val="00B31AEB"/>
    <w:rsid w:val="00B35CBC"/>
    <w:rsid w:val="00B426E6"/>
    <w:rsid w:val="00B47DED"/>
    <w:rsid w:val="00B75EEA"/>
    <w:rsid w:val="00B76507"/>
    <w:rsid w:val="00B7724B"/>
    <w:rsid w:val="00B84B9D"/>
    <w:rsid w:val="00B86CB1"/>
    <w:rsid w:val="00B9511E"/>
    <w:rsid w:val="00BA7376"/>
    <w:rsid w:val="00BA7497"/>
    <w:rsid w:val="00BB2492"/>
    <w:rsid w:val="00BB4B53"/>
    <w:rsid w:val="00BC1509"/>
    <w:rsid w:val="00BD10A6"/>
    <w:rsid w:val="00BD5094"/>
    <w:rsid w:val="00BF048B"/>
    <w:rsid w:val="00C02842"/>
    <w:rsid w:val="00C0372C"/>
    <w:rsid w:val="00C07392"/>
    <w:rsid w:val="00C55FE5"/>
    <w:rsid w:val="00C5662C"/>
    <w:rsid w:val="00C60B36"/>
    <w:rsid w:val="00C66671"/>
    <w:rsid w:val="00C721C9"/>
    <w:rsid w:val="00C805AF"/>
    <w:rsid w:val="00C81882"/>
    <w:rsid w:val="00C97243"/>
    <w:rsid w:val="00C97E29"/>
    <w:rsid w:val="00CA10EE"/>
    <w:rsid w:val="00CA19EE"/>
    <w:rsid w:val="00CA7CD7"/>
    <w:rsid w:val="00CB68C3"/>
    <w:rsid w:val="00CC1700"/>
    <w:rsid w:val="00CC4319"/>
    <w:rsid w:val="00CD3D3A"/>
    <w:rsid w:val="00CD413C"/>
    <w:rsid w:val="00CD7D75"/>
    <w:rsid w:val="00CE0919"/>
    <w:rsid w:val="00CE6167"/>
    <w:rsid w:val="00CE7412"/>
    <w:rsid w:val="00D04E31"/>
    <w:rsid w:val="00D21771"/>
    <w:rsid w:val="00D22BD6"/>
    <w:rsid w:val="00D24293"/>
    <w:rsid w:val="00D30888"/>
    <w:rsid w:val="00D30A7C"/>
    <w:rsid w:val="00D404DB"/>
    <w:rsid w:val="00D451FC"/>
    <w:rsid w:val="00D46524"/>
    <w:rsid w:val="00D46582"/>
    <w:rsid w:val="00D625F0"/>
    <w:rsid w:val="00D665FD"/>
    <w:rsid w:val="00D7461E"/>
    <w:rsid w:val="00D77607"/>
    <w:rsid w:val="00D82370"/>
    <w:rsid w:val="00D83FC5"/>
    <w:rsid w:val="00DA590B"/>
    <w:rsid w:val="00DA5B3C"/>
    <w:rsid w:val="00DA5DF7"/>
    <w:rsid w:val="00DC0774"/>
    <w:rsid w:val="00DC177E"/>
    <w:rsid w:val="00DC70C9"/>
    <w:rsid w:val="00DE6FB6"/>
    <w:rsid w:val="00E049E3"/>
    <w:rsid w:val="00E07E79"/>
    <w:rsid w:val="00E100B0"/>
    <w:rsid w:val="00E10A31"/>
    <w:rsid w:val="00E17CFC"/>
    <w:rsid w:val="00E2579B"/>
    <w:rsid w:val="00E32F6D"/>
    <w:rsid w:val="00E40FBE"/>
    <w:rsid w:val="00E52EAC"/>
    <w:rsid w:val="00E55DDC"/>
    <w:rsid w:val="00E91057"/>
    <w:rsid w:val="00E91740"/>
    <w:rsid w:val="00EA6BC8"/>
    <w:rsid w:val="00EB4219"/>
    <w:rsid w:val="00ED161E"/>
    <w:rsid w:val="00ED2435"/>
    <w:rsid w:val="00ED2BB2"/>
    <w:rsid w:val="00ED5B24"/>
    <w:rsid w:val="00ED736F"/>
    <w:rsid w:val="00EF1022"/>
    <w:rsid w:val="00EF558D"/>
    <w:rsid w:val="00F102A0"/>
    <w:rsid w:val="00F10EEA"/>
    <w:rsid w:val="00F2793D"/>
    <w:rsid w:val="00F319A9"/>
    <w:rsid w:val="00F32A90"/>
    <w:rsid w:val="00F3631D"/>
    <w:rsid w:val="00F41B90"/>
    <w:rsid w:val="00F44B21"/>
    <w:rsid w:val="00F461A1"/>
    <w:rsid w:val="00F53AC4"/>
    <w:rsid w:val="00F55CB6"/>
    <w:rsid w:val="00F62174"/>
    <w:rsid w:val="00F638D3"/>
    <w:rsid w:val="00F81020"/>
    <w:rsid w:val="00FA39CC"/>
    <w:rsid w:val="00FB010D"/>
    <w:rsid w:val="00FC418C"/>
    <w:rsid w:val="00FC7850"/>
    <w:rsid w:val="00FD40F2"/>
    <w:rsid w:val="00FD73D8"/>
    <w:rsid w:val="00FE3F2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779F4"/>
  <w15:chartTrackingRefBased/>
  <w15:docId w15:val="{D0581CBF-CD89-48E3-AB84-3652ECFAB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2D683D"/>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paragraph" w:styleId="Paragrafoelenco">
    <w:name w:val="List Paragraph"/>
    <w:basedOn w:val="Normale"/>
    <w:uiPriority w:val="34"/>
    <w:qFormat/>
    <w:rsid w:val="000A6D94"/>
    <w:pPr>
      <w:ind w:left="720"/>
      <w:contextualSpacing/>
    </w:pPr>
  </w:style>
  <w:style w:type="paragraph" w:styleId="Corpotesto">
    <w:name w:val="Body Text"/>
    <w:basedOn w:val="Normale"/>
    <w:link w:val="CorpotestoCarattere"/>
    <w:uiPriority w:val="1"/>
    <w:qFormat/>
    <w:rsid w:val="008A45E7"/>
    <w:pPr>
      <w:widowControl w:val="0"/>
      <w:autoSpaceDE w:val="0"/>
      <w:autoSpaceDN w:val="0"/>
      <w:spacing w:after="0" w:line="240" w:lineRule="auto"/>
    </w:pPr>
    <w:rPr>
      <w:rFonts w:ascii="Verdana" w:eastAsia="Verdana" w:hAnsi="Verdana" w:cs="Verdana"/>
      <w:kern w:val="0"/>
      <w:sz w:val="20"/>
      <w:szCs w:val="20"/>
      <w14:ligatures w14:val="none"/>
    </w:rPr>
  </w:style>
  <w:style w:type="character" w:customStyle="1" w:styleId="CorpotestoCarattere">
    <w:name w:val="Corpo testo Carattere"/>
    <w:basedOn w:val="Carpredefinitoparagrafo"/>
    <w:link w:val="Corpotesto"/>
    <w:uiPriority w:val="1"/>
    <w:rsid w:val="008A45E7"/>
    <w:rPr>
      <w:rFonts w:ascii="Verdana" w:eastAsia="Verdana" w:hAnsi="Verdana" w:cs="Verdana"/>
      <w:kern w:val="0"/>
      <w:sz w:val="20"/>
      <w:szCs w:val="20"/>
      <w14:ligatures w14:val="none"/>
    </w:rPr>
  </w:style>
  <w:style w:type="paragraph" w:styleId="Intestazione">
    <w:name w:val="header"/>
    <w:basedOn w:val="Normale"/>
    <w:link w:val="IntestazioneCarattere"/>
    <w:uiPriority w:val="99"/>
    <w:unhideWhenUsed/>
    <w:rsid w:val="001F2D1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F2D12"/>
  </w:style>
  <w:style w:type="paragraph" w:styleId="Pidipagina">
    <w:name w:val="footer"/>
    <w:basedOn w:val="Normale"/>
    <w:link w:val="PidipaginaCarattere"/>
    <w:uiPriority w:val="99"/>
    <w:unhideWhenUsed/>
    <w:rsid w:val="001F2D1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F2D12"/>
  </w:style>
  <w:style w:type="paragraph" w:customStyle="1" w:styleId="TableParagraph">
    <w:name w:val="Table Paragraph"/>
    <w:basedOn w:val="Normale"/>
    <w:uiPriority w:val="1"/>
    <w:qFormat/>
    <w:rsid w:val="005D5449"/>
    <w:pPr>
      <w:widowControl w:val="0"/>
      <w:autoSpaceDE w:val="0"/>
      <w:autoSpaceDN w:val="0"/>
      <w:spacing w:after="0" w:line="240" w:lineRule="auto"/>
      <w:jc w:val="center"/>
    </w:pPr>
    <w:rPr>
      <w:rFonts w:ascii="Cambria" w:eastAsia="Cambria" w:hAnsi="Cambria" w:cs="Cambria"/>
      <w:kern w:val="0"/>
      <w14:ligatures w14:val="none"/>
    </w:rPr>
  </w:style>
  <w:style w:type="paragraph" w:customStyle="1" w:styleId="Default">
    <w:name w:val="Default"/>
    <w:rsid w:val="009108D1"/>
    <w:pPr>
      <w:autoSpaceDE w:val="0"/>
      <w:autoSpaceDN w:val="0"/>
      <w:adjustRightInd w:val="0"/>
      <w:spacing w:after="0" w:line="240" w:lineRule="auto"/>
    </w:pPr>
    <w:rPr>
      <w:rFonts w:ascii="Cambria" w:hAnsi="Cambria" w:cs="Cambria"/>
      <w:color w:val="000000"/>
      <w:kern w:val="0"/>
      <w:sz w:val="24"/>
      <w:szCs w:val="24"/>
    </w:rPr>
  </w:style>
  <w:style w:type="paragraph" w:customStyle="1" w:styleId="wkit-indentation-level-0">
    <w:name w:val="wkit-indentation-level-0"/>
    <w:basedOn w:val="Normale"/>
    <w:rsid w:val="0001650D"/>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table" w:styleId="Grigliatabella">
    <w:name w:val="Table Grid"/>
    <w:basedOn w:val="Tabellanormale"/>
    <w:uiPriority w:val="39"/>
    <w:rsid w:val="00BD1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BD10A6"/>
    <w:rPr>
      <w:sz w:val="16"/>
      <w:szCs w:val="16"/>
    </w:rPr>
  </w:style>
  <w:style w:type="paragraph" w:styleId="Testocommento">
    <w:name w:val="annotation text"/>
    <w:basedOn w:val="Normale"/>
    <w:link w:val="TestocommentoCarattere"/>
    <w:uiPriority w:val="99"/>
    <w:semiHidden/>
    <w:unhideWhenUsed/>
    <w:rsid w:val="00BD10A6"/>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BD10A6"/>
    <w:rPr>
      <w:sz w:val="20"/>
      <w:szCs w:val="20"/>
    </w:rPr>
  </w:style>
  <w:style w:type="paragraph" w:styleId="Soggettocommento">
    <w:name w:val="annotation subject"/>
    <w:basedOn w:val="Testocommento"/>
    <w:next w:val="Testocommento"/>
    <w:link w:val="SoggettocommentoCarattere"/>
    <w:uiPriority w:val="99"/>
    <w:semiHidden/>
    <w:unhideWhenUsed/>
    <w:rsid w:val="00BD10A6"/>
    <w:rPr>
      <w:b/>
      <w:bCs/>
    </w:rPr>
  </w:style>
  <w:style w:type="character" w:customStyle="1" w:styleId="SoggettocommentoCarattere">
    <w:name w:val="Soggetto commento Carattere"/>
    <w:basedOn w:val="TestocommentoCarattere"/>
    <w:link w:val="Soggettocommento"/>
    <w:uiPriority w:val="99"/>
    <w:semiHidden/>
    <w:rsid w:val="00BD10A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242413">
      <w:bodyDiv w:val="1"/>
      <w:marLeft w:val="0"/>
      <w:marRight w:val="0"/>
      <w:marTop w:val="0"/>
      <w:marBottom w:val="0"/>
      <w:divBdr>
        <w:top w:val="none" w:sz="0" w:space="0" w:color="auto"/>
        <w:left w:val="none" w:sz="0" w:space="0" w:color="auto"/>
        <w:bottom w:val="none" w:sz="0" w:space="0" w:color="auto"/>
        <w:right w:val="none" w:sz="0" w:space="0" w:color="auto"/>
      </w:divBdr>
    </w:div>
    <w:div w:id="120730816">
      <w:bodyDiv w:val="1"/>
      <w:marLeft w:val="0"/>
      <w:marRight w:val="0"/>
      <w:marTop w:val="0"/>
      <w:marBottom w:val="0"/>
      <w:divBdr>
        <w:top w:val="none" w:sz="0" w:space="0" w:color="auto"/>
        <w:left w:val="none" w:sz="0" w:space="0" w:color="auto"/>
        <w:bottom w:val="none" w:sz="0" w:space="0" w:color="auto"/>
        <w:right w:val="none" w:sz="0" w:space="0" w:color="auto"/>
      </w:divBdr>
    </w:div>
    <w:div w:id="303775076">
      <w:bodyDiv w:val="1"/>
      <w:marLeft w:val="0"/>
      <w:marRight w:val="0"/>
      <w:marTop w:val="0"/>
      <w:marBottom w:val="0"/>
      <w:divBdr>
        <w:top w:val="none" w:sz="0" w:space="0" w:color="auto"/>
        <w:left w:val="none" w:sz="0" w:space="0" w:color="auto"/>
        <w:bottom w:val="none" w:sz="0" w:space="0" w:color="auto"/>
        <w:right w:val="none" w:sz="0" w:space="0" w:color="auto"/>
      </w:divBdr>
    </w:div>
    <w:div w:id="459150692">
      <w:bodyDiv w:val="1"/>
      <w:marLeft w:val="0"/>
      <w:marRight w:val="0"/>
      <w:marTop w:val="0"/>
      <w:marBottom w:val="0"/>
      <w:divBdr>
        <w:top w:val="none" w:sz="0" w:space="0" w:color="auto"/>
        <w:left w:val="none" w:sz="0" w:space="0" w:color="auto"/>
        <w:bottom w:val="none" w:sz="0" w:space="0" w:color="auto"/>
        <w:right w:val="none" w:sz="0" w:space="0" w:color="auto"/>
      </w:divBdr>
      <w:divsChild>
        <w:div w:id="3683858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1967864">
      <w:bodyDiv w:val="1"/>
      <w:marLeft w:val="0"/>
      <w:marRight w:val="0"/>
      <w:marTop w:val="0"/>
      <w:marBottom w:val="0"/>
      <w:divBdr>
        <w:top w:val="none" w:sz="0" w:space="0" w:color="auto"/>
        <w:left w:val="none" w:sz="0" w:space="0" w:color="auto"/>
        <w:bottom w:val="none" w:sz="0" w:space="0" w:color="auto"/>
        <w:right w:val="none" w:sz="0" w:space="0" w:color="auto"/>
      </w:divBdr>
      <w:divsChild>
        <w:div w:id="918518579">
          <w:blockQuote w:val="1"/>
          <w:marLeft w:val="720"/>
          <w:marRight w:val="720"/>
          <w:marTop w:val="100"/>
          <w:marBottom w:val="100"/>
          <w:divBdr>
            <w:top w:val="none" w:sz="0" w:space="0" w:color="auto"/>
            <w:left w:val="none" w:sz="0" w:space="0" w:color="auto"/>
            <w:bottom w:val="none" w:sz="0" w:space="0" w:color="auto"/>
            <w:right w:val="none" w:sz="0" w:space="0" w:color="auto"/>
          </w:divBdr>
        </w:div>
        <w:div w:id="237252717">
          <w:blockQuote w:val="1"/>
          <w:marLeft w:val="720"/>
          <w:marRight w:val="720"/>
          <w:marTop w:val="100"/>
          <w:marBottom w:val="100"/>
          <w:divBdr>
            <w:top w:val="none" w:sz="0" w:space="0" w:color="auto"/>
            <w:left w:val="none" w:sz="0" w:space="0" w:color="auto"/>
            <w:bottom w:val="none" w:sz="0" w:space="0" w:color="auto"/>
            <w:right w:val="none" w:sz="0" w:space="0" w:color="auto"/>
          </w:divBdr>
        </w:div>
        <w:div w:id="1388383759">
          <w:blockQuote w:val="1"/>
          <w:marLeft w:val="720"/>
          <w:marRight w:val="720"/>
          <w:marTop w:val="100"/>
          <w:marBottom w:val="100"/>
          <w:divBdr>
            <w:top w:val="none" w:sz="0" w:space="0" w:color="auto"/>
            <w:left w:val="none" w:sz="0" w:space="0" w:color="auto"/>
            <w:bottom w:val="none" w:sz="0" w:space="0" w:color="auto"/>
            <w:right w:val="none" w:sz="0" w:space="0" w:color="auto"/>
          </w:divBdr>
        </w:div>
        <w:div w:id="1638682127">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2612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350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5773153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37504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1044808">
      <w:bodyDiv w:val="1"/>
      <w:marLeft w:val="0"/>
      <w:marRight w:val="0"/>
      <w:marTop w:val="0"/>
      <w:marBottom w:val="0"/>
      <w:divBdr>
        <w:top w:val="none" w:sz="0" w:space="0" w:color="auto"/>
        <w:left w:val="none" w:sz="0" w:space="0" w:color="auto"/>
        <w:bottom w:val="none" w:sz="0" w:space="0" w:color="auto"/>
        <w:right w:val="none" w:sz="0" w:space="0" w:color="auto"/>
      </w:divBdr>
    </w:div>
    <w:div w:id="606502213">
      <w:bodyDiv w:val="1"/>
      <w:marLeft w:val="0"/>
      <w:marRight w:val="0"/>
      <w:marTop w:val="0"/>
      <w:marBottom w:val="0"/>
      <w:divBdr>
        <w:top w:val="none" w:sz="0" w:space="0" w:color="auto"/>
        <w:left w:val="none" w:sz="0" w:space="0" w:color="auto"/>
        <w:bottom w:val="none" w:sz="0" w:space="0" w:color="auto"/>
        <w:right w:val="none" w:sz="0" w:space="0" w:color="auto"/>
      </w:divBdr>
    </w:div>
    <w:div w:id="733086071">
      <w:bodyDiv w:val="1"/>
      <w:marLeft w:val="0"/>
      <w:marRight w:val="0"/>
      <w:marTop w:val="0"/>
      <w:marBottom w:val="0"/>
      <w:divBdr>
        <w:top w:val="none" w:sz="0" w:space="0" w:color="auto"/>
        <w:left w:val="none" w:sz="0" w:space="0" w:color="auto"/>
        <w:bottom w:val="none" w:sz="0" w:space="0" w:color="auto"/>
        <w:right w:val="none" w:sz="0" w:space="0" w:color="auto"/>
      </w:divBdr>
    </w:div>
    <w:div w:id="820079262">
      <w:bodyDiv w:val="1"/>
      <w:marLeft w:val="0"/>
      <w:marRight w:val="0"/>
      <w:marTop w:val="0"/>
      <w:marBottom w:val="0"/>
      <w:divBdr>
        <w:top w:val="none" w:sz="0" w:space="0" w:color="auto"/>
        <w:left w:val="none" w:sz="0" w:space="0" w:color="auto"/>
        <w:bottom w:val="none" w:sz="0" w:space="0" w:color="auto"/>
        <w:right w:val="none" w:sz="0" w:space="0" w:color="auto"/>
      </w:divBdr>
    </w:div>
    <w:div w:id="837113723">
      <w:bodyDiv w:val="1"/>
      <w:marLeft w:val="0"/>
      <w:marRight w:val="0"/>
      <w:marTop w:val="0"/>
      <w:marBottom w:val="0"/>
      <w:divBdr>
        <w:top w:val="none" w:sz="0" w:space="0" w:color="auto"/>
        <w:left w:val="none" w:sz="0" w:space="0" w:color="auto"/>
        <w:bottom w:val="none" w:sz="0" w:space="0" w:color="auto"/>
        <w:right w:val="none" w:sz="0" w:space="0" w:color="auto"/>
      </w:divBdr>
    </w:div>
    <w:div w:id="1204515570">
      <w:bodyDiv w:val="1"/>
      <w:marLeft w:val="0"/>
      <w:marRight w:val="0"/>
      <w:marTop w:val="0"/>
      <w:marBottom w:val="0"/>
      <w:divBdr>
        <w:top w:val="none" w:sz="0" w:space="0" w:color="auto"/>
        <w:left w:val="none" w:sz="0" w:space="0" w:color="auto"/>
        <w:bottom w:val="none" w:sz="0" w:space="0" w:color="auto"/>
        <w:right w:val="none" w:sz="0" w:space="0" w:color="auto"/>
      </w:divBdr>
    </w:div>
    <w:div w:id="1317415283">
      <w:bodyDiv w:val="1"/>
      <w:marLeft w:val="0"/>
      <w:marRight w:val="0"/>
      <w:marTop w:val="0"/>
      <w:marBottom w:val="0"/>
      <w:divBdr>
        <w:top w:val="none" w:sz="0" w:space="0" w:color="auto"/>
        <w:left w:val="none" w:sz="0" w:space="0" w:color="auto"/>
        <w:bottom w:val="none" w:sz="0" w:space="0" w:color="auto"/>
        <w:right w:val="none" w:sz="0" w:space="0" w:color="auto"/>
      </w:divBdr>
    </w:div>
    <w:div w:id="1393387835">
      <w:bodyDiv w:val="1"/>
      <w:marLeft w:val="0"/>
      <w:marRight w:val="0"/>
      <w:marTop w:val="0"/>
      <w:marBottom w:val="0"/>
      <w:divBdr>
        <w:top w:val="none" w:sz="0" w:space="0" w:color="auto"/>
        <w:left w:val="none" w:sz="0" w:space="0" w:color="auto"/>
        <w:bottom w:val="none" w:sz="0" w:space="0" w:color="auto"/>
        <w:right w:val="none" w:sz="0" w:space="0" w:color="auto"/>
      </w:divBdr>
    </w:div>
    <w:div w:id="1841042077">
      <w:bodyDiv w:val="1"/>
      <w:marLeft w:val="0"/>
      <w:marRight w:val="0"/>
      <w:marTop w:val="0"/>
      <w:marBottom w:val="0"/>
      <w:divBdr>
        <w:top w:val="none" w:sz="0" w:space="0" w:color="auto"/>
        <w:left w:val="none" w:sz="0" w:space="0" w:color="auto"/>
        <w:bottom w:val="none" w:sz="0" w:space="0" w:color="auto"/>
        <w:right w:val="none" w:sz="0" w:space="0" w:color="auto"/>
      </w:divBdr>
      <w:divsChild>
        <w:div w:id="447697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AF689-9A7A-4042-8338-F2860D15C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5</Pages>
  <Words>4105</Words>
  <Characters>23400</Characters>
  <Application>Microsoft Office Word</Application>
  <DocSecurity>0</DocSecurity>
  <Lines>195</Lines>
  <Paragraphs>54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vrizzo</dc:creator>
  <cp:keywords/>
  <dc:description/>
  <cp:lastModifiedBy>Utente</cp:lastModifiedBy>
  <cp:revision>177</cp:revision>
  <cp:lastPrinted>2024-05-09T15:21:00Z</cp:lastPrinted>
  <dcterms:created xsi:type="dcterms:W3CDTF">2024-05-07T07:08:00Z</dcterms:created>
  <dcterms:modified xsi:type="dcterms:W3CDTF">2024-05-16T11:03:00Z</dcterms:modified>
</cp:coreProperties>
</file>